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89CA" w14:textId="6C53D5BB" w:rsidR="0070568B" w:rsidRPr="00494EE0" w:rsidRDefault="00290257" w:rsidP="00290257">
      <w:pPr>
        <w:rPr>
          <w:rFonts w:ascii="Times New Roman" w:eastAsia="Times New Roman" w:hAnsi="Times New Roman" w:cs="Times New Roman"/>
          <w:b/>
          <w:bCs/>
          <w:sz w:val="22"/>
          <w:szCs w:val="22"/>
          <w:u w:val="single"/>
        </w:rPr>
      </w:pPr>
      <w:r w:rsidRPr="00494EE0">
        <w:rPr>
          <w:rFonts w:ascii="Times New Roman" w:eastAsia="Times New Roman" w:hAnsi="Times New Roman" w:cs="Times New Roman"/>
          <w:b/>
          <w:bCs/>
          <w:sz w:val="22"/>
          <w:szCs w:val="22"/>
          <w:u w:val="single"/>
        </w:rPr>
        <w:t xml:space="preserve">Gerstein </w:t>
      </w:r>
      <w:r w:rsidR="00862B2F">
        <w:rPr>
          <w:rFonts w:ascii="Times New Roman" w:eastAsia="Times New Roman" w:hAnsi="Times New Roman" w:cs="Times New Roman"/>
          <w:b/>
          <w:bCs/>
          <w:sz w:val="22"/>
          <w:szCs w:val="22"/>
          <w:u w:val="single"/>
        </w:rPr>
        <w:t>l</w:t>
      </w:r>
      <w:r w:rsidRPr="00494EE0">
        <w:rPr>
          <w:rFonts w:ascii="Times New Roman" w:eastAsia="Times New Roman" w:hAnsi="Times New Roman" w:cs="Times New Roman"/>
          <w:b/>
          <w:bCs/>
          <w:sz w:val="22"/>
          <w:szCs w:val="22"/>
          <w:u w:val="single"/>
        </w:rPr>
        <w:t xml:space="preserve">ab </w:t>
      </w:r>
      <w:r w:rsidR="00862B2F">
        <w:rPr>
          <w:rFonts w:ascii="Times New Roman" w:eastAsia="Times New Roman" w:hAnsi="Times New Roman" w:cs="Times New Roman"/>
          <w:b/>
          <w:bCs/>
          <w:sz w:val="22"/>
          <w:szCs w:val="22"/>
          <w:u w:val="single"/>
        </w:rPr>
        <w:t>e</w:t>
      </w:r>
      <w:r w:rsidRPr="00494EE0">
        <w:rPr>
          <w:rFonts w:ascii="Times New Roman" w:eastAsia="Times New Roman" w:hAnsi="Times New Roman" w:cs="Times New Roman"/>
          <w:b/>
          <w:bCs/>
          <w:sz w:val="22"/>
          <w:szCs w:val="22"/>
          <w:u w:val="single"/>
        </w:rPr>
        <w:t xml:space="preserve">xperience in </w:t>
      </w:r>
      <w:r w:rsidR="00862B2F">
        <w:rPr>
          <w:rFonts w:ascii="Times New Roman" w:eastAsia="Times New Roman" w:hAnsi="Times New Roman" w:cs="Times New Roman"/>
          <w:b/>
          <w:bCs/>
          <w:sz w:val="22"/>
          <w:szCs w:val="22"/>
          <w:u w:val="single"/>
        </w:rPr>
        <w:t>c</w:t>
      </w:r>
      <w:r w:rsidRPr="00494EE0">
        <w:rPr>
          <w:rFonts w:ascii="Times New Roman" w:eastAsia="Times New Roman" w:hAnsi="Times New Roman" w:cs="Times New Roman"/>
          <w:b/>
          <w:bCs/>
          <w:sz w:val="22"/>
          <w:szCs w:val="22"/>
          <w:u w:val="single"/>
        </w:rPr>
        <w:t xml:space="preserve">ancer </w:t>
      </w:r>
      <w:r w:rsidR="00862B2F">
        <w:rPr>
          <w:rFonts w:ascii="Times New Roman" w:eastAsia="Times New Roman" w:hAnsi="Times New Roman" w:cs="Times New Roman"/>
          <w:b/>
          <w:bCs/>
          <w:sz w:val="22"/>
          <w:szCs w:val="22"/>
          <w:u w:val="single"/>
        </w:rPr>
        <w:t>g</w:t>
      </w:r>
      <w:r w:rsidRPr="00494EE0">
        <w:rPr>
          <w:rFonts w:ascii="Times New Roman" w:eastAsia="Times New Roman" w:hAnsi="Times New Roman" w:cs="Times New Roman"/>
          <w:b/>
          <w:bCs/>
          <w:sz w:val="22"/>
          <w:szCs w:val="22"/>
          <w:u w:val="single"/>
        </w:rPr>
        <w:t>enomics</w:t>
      </w:r>
    </w:p>
    <w:p w14:paraId="485EACD0" w14:textId="7BF53085" w:rsidR="0070568B" w:rsidRPr="00494EE0" w:rsidRDefault="0070568B" w:rsidP="0070568B">
      <w:pPr>
        <w:ind w:firstLine="720"/>
        <w:rPr>
          <w:rFonts w:ascii="Times New Roman" w:eastAsia="Times New Roman" w:hAnsi="Times New Roman" w:cs="Times New Roman"/>
          <w:sz w:val="22"/>
          <w:szCs w:val="22"/>
        </w:rPr>
      </w:pPr>
      <w:r w:rsidRPr="00494EE0">
        <w:rPr>
          <w:rFonts w:ascii="Times New Roman" w:eastAsia="Times New Roman" w:hAnsi="Times New Roman" w:cs="Times New Roman"/>
          <w:sz w:val="22"/>
          <w:szCs w:val="22"/>
        </w:rPr>
        <w:t xml:space="preserve">The Gerstein lab has extensive experience with analyzing cancer genomes through our involvement in </w:t>
      </w:r>
      <w:proofErr w:type="gramStart"/>
      <w:r w:rsidRPr="00494EE0">
        <w:rPr>
          <w:rFonts w:ascii="Times New Roman" w:eastAsia="Times New Roman" w:hAnsi="Times New Roman" w:cs="Times New Roman"/>
          <w:sz w:val="22"/>
          <w:szCs w:val="22"/>
        </w:rPr>
        <w:t>a number of</w:t>
      </w:r>
      <w:proofErr w:type="gramEnd"/>
      <w:r w:rsidRPr="00494EE0">
        <w:rPr>
          <w:rFonts w:ascii="Times New Roman" w:eastAsia="Times New Roman" w:hAnsi="Times New Roman" w:cs="Times New Roman"/>
          <w:sz w:val="22"/>
          <w:szCs w:val="22"/>
        </w:rPr>
        <w:t xml:space="preserve"> cancer-focused consortia, including TCGA and PCAWG. In TCGA, we were involved in studies of prostate (</w:t>
      </w:r>
      <w:r w:rsidR="00BD21AD" w:rsidRPr="00BD21AD">
        <w:rPr>
          <w:rFonts w:ascii="Times New Roman" w:eastAsia="Times New Roman" w:hAnsi="Times New Roman" w:cs="Times New Roman"/>
          <w:sz w:val="22"/>
          <w:szCs w:val="22"/>
        </w:rPr>
        <w:t xml:space="preserve">Cancer Genome Atlas Research Network, </w:t>
      </w:r>
      <w:proofErr w:type="gramStart"/>
      <w:r w:rsidR="00BD21AD" w:rsidRPr="00BD21AD">
        <w:rPr>
          <w:rFonts w:ascii="Times New Roman" w:eastAsia="Times New Roman" w:hAnsi="Times New Roman" w:cs="Times New Roman"/>
          <w:sz w:val="22"/>
          <w:szCs w:val="22"/>
        </w:rPr>
        <w:t>2015 ;</w:t>
      </w:r>
      <w:proofErr w:type="gramEnd"/>
      <w:r w:rsidR="00BD21AD" w:rsidRPr="00BD21AD">
        <w:rPr>
          <w:rFonts w:ascii="Times New Roman" w:eastAsia="Times New Roman" w:hAnsi="Times New Roman" w:cs="Times New Roman"/>
          <w:sz w:val="22"/>
          <w:szCs w:val="22"/>
        </w:rPr>
        <w:t xml:space="preserve"> Cancer Genome Atlas Research Network, 2016 ; Augspach et al, 2021</w:t>
      </w:r>
      <w:r w:rsidRPr="00494EE0">
        <w:rPr>
          <w:rFonts w:ascii="Times New Roman" w:eastAsia="Times New Roman" w:hAnsi="Times New Roman" w:cs="Times New Roman"/>
          <w:sz w:val="22"/>
          <w:szCs w:val="22"/>
        </w:rPr>
        <w:t>) and kidney (</w:t>
      </w:r>
      <w:r w:rsidR="00BD21AD">
        <w:rPr>
          <w:rFonts w:ascii="Times New Roman" w:eastAsia="Times New Roman" w:hAnsi="Times New Roman" w:cs="Times New Roman"/>
          <w:sz w:val="22"/>
          <w:szCs w:val="22"/>
        </w:rPr>
        <w:t>Li et al, 2017</w:t>
      </w:r>
      <w:r w:rsidRPr="00494EE0">
        <w:rPr>
          <w:rFonts w:ascii="Times New Roman" w:eastAsia="Times New Roman" w:hAnsi="Times New Roman" w:cs="Times New Roman"/>
          <w:sz w:val="22"/>
          <w:szCs w:val="22"/>
        </w:rPr>
        <w:t>) cancers, and some of this work involved detailed analyses into minor splicing in cancer contexts. The Gerstein has built software tools and developed computational methods for finding sites splice sites throughout the human genome. We have also co-</w:t>
      </w:r>
      <w:proofErr w:type="gramStart"/>
      <w:r w:rsidRPr="00494EE0">
        <w:rPr>
          <w:rFonts w:ascii="Times New Roman" w:eastAsia="Times New Roman" w:hAnsi="Times New Roman" w:cs="Times New Roman"/>
          <w:sz w:val="22"/>
          <w:szCs w:val="22"/>
        </w:rPr>
        <w:t>lead</w:t>
      </w:r>
      <w:proofErr w:type="gramEnd"/>
      <w:r w:rsidRPr="00494EE0">
        <w:rPr>
          <w:rFonts w:ascii="Times New Roman" w:eastAsia="Times New Roman" w:hAnsi="Times New Roman" w:cs="Times New Roman"/>
          <w:sz w:val="22"/>
          <w:szCs w:val="22"/>
        </w:rPr>
        <w:t xml:space="preserve"> a PCAWG sub-group to investigate the impact of non-coding mutations in cancer. We have continued to expand upon our </w:t>
      </w:r>
      <w:proofErr w:type="gramStart"/>
      <w:r w:rsidRPr="00494EE0">
        <w:rPr>
          <w:rFonts w:ascii="Times New Roman" w:eastAsia="Times New Roman" w:hAnsi="Times New Roman" w:cs="Times New Roman"/>
          <w:sz w:val="22"/>
          <w:szCs w:val="22"/>
        </w:rPr>
        <w:t>widely-used</w:t>
      </w:r>
      <w:proofErr w:type="gramEnd"/>
      <w:r w:rsidRPr="00494EE0">
        <w:rPr>
          <w:rFonts w:ascii="Times New Roman" w:eastAsia="Times New Roman" w:hAnsi="Times New Roman" w:cs="Times New Roman"/>
          <w:sz w:val="22"/>
          <w:szCs w:val="22"/>
        </w:rPr>
        <w:t xml:space="preserve"> Function-based Prioritization of Sequence Variants (</w:t>
      </w:r>
      <w:proofErr w:type="spellStart"/>
      <w:r w:rsidRPr="00494EE0">
        <w:rPr>
          <w:rFonts w:ascii="Times New Roman" w:eastAsia="Times New Roman" w:hAnsi="Times New Roman" w:cs="Times New Roman"/>
          <w:sz w:val="22"/>
          <w:szCs w:val="22"/>
        </w:rPr>
        <w:t>FunSeq</w:t>
      </w:r>
      <w:proofErr w:type="spellEnd"/>
      <w:r w:rsidRPr="00494EE0">
        <w:rPr>
          <w:rFonts w:ascii="Times New Roman" w:eastAsia="Times New Roman" w:hAnsi="Times New Roman" w:cs="Times New Roman"/>
          <w:sz w:val="22"/>
          <w:szCs w:val="22"/>
        </w:rPr>
        <w:t>) tool to study somatic cancer variants (</w:t>
      </w:r>
      <w:r w:rsidR="00E25419" w:rsidRPr="00494EE0">
        <w:rPr>
          <w:rFonts w:ascii="Times New Roman" w:eastAsia="Times New Roman" w:hAnsi="Times New Roman" w:cs="Times New Roman"/>
          <w:sz w:val="22"/>
          <w:szCs w:val="22"/>
        </w:rPr>
        <w:t>Khurana</w:t>
      </w:r>
      <w:r w:rsidR="00E25419">
        <w:rPr>
          <w:rFonts w:ascii="Times New Roman" w:eastAsia="Times New Roman" w:hAnsi="Times New Roman" w:cs="Times New Roman"/>
          <w:sz w:val="22"/>
          <w:szCs w:val="22"/>
        </w:rPr>
        <w:t xml:space="preserve"> et al, 2013</w:t>
      </w:r>
      <w:r w:rsidRPr="00494EE0">
        <w:rPr>
          <w:rFonts w:ascii="Times New Roman" w:eastAsia="Times New Roman" w:hAnsi="Times New Roman" w:cs="Times New Roman"/>
          <w:sz w:val="22"/>
          <w:szCs w:val="22"/>
        </w:rPr>
        <w:t xml:space="preserve">). We also developed </w:t>
      </w:r>
      <w:proofErr w:type="spellStart"/>
      <w:r w:rsidRPr="00494EE0">
        <w:rPr>
          <w:rFonts w:ascii="Times New Roman" w:eastAsia="Times New Roman" w:hAnsi="Times New Roman" w:cs="Times New Roman"/>
          <w:sz w:val="22"/>
          <w:szCs w:val="22"/>
        </w:rPr>
        <w:t>FusionSeq</w:t>
      </w:r>
      <w:proofErr w:type="spellEnd"/>
      <w:r w:rsidRPr="00494EE0">
        <w:rPr>
          <w:rFonts w:ascii="Times New Roman" w:eastAsia="Times New Roman" w:hAnsi="Times New Roman" w:cs="Times New Roman"/>
          <w:sz w:val="22"/>
          <w:szCs w:val="22"/>
        </w:rPr>
        <w:t xml:space="preserve"> (</w:t>
      </w:r>
      <w:proofErr w:type="spellStart"/>
      <w:r w:rsidR="00E25419" w:rsidRPr="00494EE0">
        <w:rPr>
          <w:rFonts w:ascii="Times New Roman" w:eastAsia="Times New Roman" w:hAnsi="Times New Roman" w:cs="Times New Roman"/>
          <w:sz w:val="22"/>
          <w:szCs w:val="22"/>
        </w:rPr>
        <w:t>Sboner</w:t>
      </w:r>
      <w:proofErr w:type="spellEnd"/>
      <w:r w:rsidR="00E25419">
        <w:rPr>
          <w:rFonts w:ascii="Times New Roman" w:eastAsia="Times New Roman" w:hAnsi="Times New Roman" w:cs="Times New Roman"/>
          <w:sz w:val="22"/>
          <w:szCs w:val="22"/>
        </w:rPr>
        <w:t xml:space="preserve"> et al, 2010</w:t>
      </w:r>
      <w:r w:rsidRPr="00494EE0">
        <w:rPr>
          <w:rFonts w:ascii="Times New Roman" w:eastAsia="Times New Roman" w:hAnsi="Times New Roman" w:cs="Times New Roman"/>
          <w:sz w:val="22"/>
          <w:szCs w:val="22"/>
        </w:rPr>
        <w:t xml:space="preserve">), which is a computational framework to identify fusion transcripts from paired-end RNA-sequence data. </w:t>
      </w:r>
      <w:proofErr w:type="spellStart"/>
      <w:r w:rsidRPr="00494EE0">
        <w:rPr>
          <w:rFonts w:ascii="Times New Roman" w:eastAsia="Times New Roman" w:hAnsi="Times New Roman" w:cs="Times New Roman"/>
          <w:sz w:val="22"/>
          <w:szCs w:val="22"/>
        </w:rPr>
        <w:t>FusionSeq</w:t>
      </w:r>
      <w:proofErr w:type="spellEnd"/>
      <w:r w:rsidRPr="00494EE0">
        <w:rPr>
          <w:rFonts w:ascii="Times New Roman" w:eastAsia="Times New Roman" w:hAnsi="Times New Roman" w:cs="Times New Roman"/>
          <w:sz w:val="22"/>
          <w:szCs w:val="22"/>
        </w:rPr>
        <w:t xml:space="preserve"> includes filters to remove spurious candidate fusions with artifacts such as misalignments or random pairings of transcript fragments, and it provides rankings for identified candidates. We also explored the properties and consequences of recurrent repeat expansions (</w:t>
      </w:r>
      <w:proofErr w:type="spellStart"/>
      <w:r w:rsidRPr="00494EE0">
        <w:rPr>
          <w:rFonts w:ascii="Times New Roman" w:eastAsia="Times New Roman" w:hAnsi="Times New Roman" w:cs="Times New Roman"/>
          <w:sz w:val="22"/>
          <w:szCs w:val="22"/>
        </w:rPr>
        <w:t>rREs</w:t>
      </w:r>
      <w:proofErr w:type="spellEnd"/>
      <w:r w:rsidRPr="00494EE0">
        <w:rPr>
          <w:rFonts w:ascii="Times New Roman" w:eastAsia="Times New Roman" w:hAnsi="Times New Roman" w:cs="Times New Roman"/>
          <w:sz w:val="22"/>
          <w:szCs w:val="22"/>
        </w:rPr>
        <w:t>) spanning 29 cancer types (</w:t>
      </w:r>
      <w:r w:rsidR="00E25419">
        <w:rPr>
          <w:rFonts w:ascii="Times New Roman" w:eastAsia="Times New Roman" w:hAnsi="Times New Roman" w:cs="Times New Roman"/>
          <w:sz w:val="22"/>
          <w:szCs w:val="22"/>
        </w:rPr>
        <w:t>Erwin et al, 2022</w:t>
      </w:r>
      <w:r w:rsidRPr="00494EE0">
        <w:rPr>
          <w:rFonts w:ascii="Times New Roman" w:eastAsia="Times New Roman" w:hAnsi="Times New Roman" w:cs="Times New Roman"/>
          <w:sz w:val="22"/>
          <w:szCs w:val="22"/>
        </w:rPr>
        <w:t xml:space="preserve">). We emphasize that many of these previous studies were carried out as part of joint efforts with the other groups, so our experience in these efforts </w:t>
      </w:r>
      <w:r w:rsidR="00494EE0" w:rsidRPr="00494EE0">
        <w:rPr>
          <w:rFonts w:ascii="Times New Roman" w:eastAsia="Times New Roman" w:hAnsi="Times New Roman" w:cs="Times New Roman"/>
          <w:sz w:val="22"/>
          <w:szCs w:val="22"/>
        </w:rPr>
        <w:t>is</w:t>
      </w:r>
      <w:r w:rsidRPr="00494EE0">
        <w:rPr>
          <w:rFonts w:ascii="Times New Roman" w:eastAsia="Times New Roman" w:hAnsi="Times New Roman" w:cs="Times New Roman"/>
          <w:sz w:val="22"/>
          <w:szCs w:val="22"/>
        </w:rPr>
        <w:t xml:space="preserve"> scientific and collaborative in nature.</w:t>
      </w:r>
    </w:p>
    <w:p w14:paraId="520E6697" w14:textId="77777777" w:rsidR="00494EE0" w:rsidRDefault="00494EE0" w:rsidP="00494EE0">
      <w:pPr>
        <w:rPr>
          <w:rFonts w:ascii="Times New Roman" w:eastAsia="Times New Roman" w:hAnsi="Times New Roman" w:cs="Times New Roman"/>
          <w:sz w:val="22"/>
          <w:szCs w:val="22"/>
        </w:rPr>
      </w:pPr>
    </w:p>
    <w:p w14:paraId="60888F66" w14:textId="44CC84FB" w:rsidR="00230500" w:rsidRPr="00494EE0" w:rsidRDefault="00230500" w:rsidP="00230500">
      <w:pPr>
        <w:rPr>
          <w:rFonts w:ascii="Times New Roman" w:eastAsia="Times New Roman" w:hAnsi="Times New Roman" w:cs="Times New Roman"/>
          <w:b/>
          <w:bCs/>
          <w:sz w:val="22"/>
          <w:szCs w:val="22"/>
          <w:u w:val="single"/>
        </w:rPr>
      </w:pPr>
      <w:r w:rsidRPr="00494EE0">
        <w:rPr>
          <w:rFonts w:ascii="Times New Roman" w:eastAsia="Times New Roman" w:hAnsi="Times New Roman" w:cs="Times New Roman"/>
          <w:b/>
          <w:bCs/>
          <w:sz w:val="22"/>
          <w:szCs w:val="22"/>
          <w:u w:val="single"/>
        </w:rPr>
        <w:t xml:space="preserve">Gerstein </w:t>
      </w:r>
      <w:r>
        <w:rPr>
          <w:rFonts w:ascii="Times New Roman" w:eastAsia="Times New Roman" w:hAnsi="Times New Roman" w:cs="Times New Roman"/>
          <w:b/>
          <w:bCs/>
          <w:sz w:val="22"/>
          <w:szCs w:val="22"/>
          <w:u w:val="single"/>
        </w:rPr>
        <w:t>l</w:t>
      </w:r>
      <w:r w:rsidRPr="00494EE0">
        <w:rPr>
          <w:rFonts w:ascii="Times New Roman" w:eastAsia="Times New Roman" w:hAnsi="Times New Roman" w:cs="Times New Roman"/>
          <w:b/>
          <w:bCs/>
          <w:sz w:val="22"/>
          <w:szCs w:val="22"/>
          <w:u w:val="single"/>
        </w:rPr>
        <w:t xml:space="preserve">ab </w:t>
      </w:r>
      <w:r>
        <w:rPr>
          <w:rFonts w:ascii="Times New Roman" w:eastAsia="Times New Roman" w:hAnsi="Times New Roman" w:cs="Times New Roman"/>
          <w:b/>
          <w:bCs/>
          <w:sz w:val="22"/>
          <w:szCs w:val="22"/>
          <w:u w:val="single"/>
        </w:rPr>
        <w:t>e</w:t>
      </w:r>
      <w:r w:rsidRPr="00494EE0">
        <w:rPr>
          <w:rFonts w:ascii="Times New Roman" w:eastAsia="Times New Roman" w:hAnsi="Times New Roman" w:cs="Times New Roman"/>
          <w:b/>
          <w:bCs/>
          <w:sz w:val="22"/>
          <w:szCs w:val="22"/>
          <w:u w:val="single"/>
        </w:rPr>
        <w:t xml:space="preserve">xperience in </w:t>
      </w:r>
      <w:r>
        <w:rPr>
          <w:rFonts w:ascii="Times New Roman" w:eastAsia="Times New Roman" w:hAnsi="Times New Roman" w:cs="Times New Roman"/>
          <w:b/>
          <w:bCs/>
          <w:sz w:val="22"/>
          <w:szCs w:val="22"/>
          <w:u w:val="single"/>
        </w:rPr>
        <w:t>minor splicing analysis</w:t>
      </w:r>
    </w:p>
    <w:p w14:paraId="39368FDB" w14:textId="67FE08A3" w:rsidR="00B822BD" w:rsidRDefault="00B822BD" w:rsidP="00494EE0">
      <w:pPr>
        <w:rPr>
          <w:rFonts w:ascii="Times New Roman" w:eastAsia="Times New Roman" w:hAnsi="Times New Roman" w:cs="Times New Roman"/>
          <w:sz w:val="22"/>
          <w:szCs w:val="22"/>
        </w:rPr>
      </w:pPr>
      <w:r>
        <w:rPr>
          <w:rFonts w:ascii="Times New Roman" w:eastAsia="Times New Roman" w:hAnsi="Times New Roman" w:cs="Times New Roman"/>
          <w:sz w:val="22"/>
          <w:szCs w:val="22"/>
        </w:rPr>
        <w:tab/>
        <w:t>The Gerstein lab has worked closely with the research groups led by Drs. Mark Rubin and Rahul Kanadia to study systematic differences in gene expression associated with minor-intron-containing genes (MIGs). This work was published in</w:t>
      </w:r>
      <w:r w:rsidR="00BB0B8F">
        <w:rPr>
          <w:rFonts w:ascii="Times New Roman" w:eastAsia="Times New Roman" w:hAnsi="Times New Roman" w:cs="Times New Roman"/>
          <w:sz w:val="22"/>
          <w:szCs w:val="22"/>
        </w:rPr>
        <w:t xml:space="preserve"> Molecular Cell. In the context of this study, we used silhouette scores to rigorously demonstrate that MIGs exhibit stronger differential gene expression across cancer types and stages of cancer development, relative to genes that do not contain minor introns (that is, relative to non-MIG genes).</w:t>
      </w:r>
    </w:p>
    <w:p w14:paraId="08263CB6" w14:textId="77777777" w:rsidR="00B822BD" w:rsidRDefault="00B822BD" w:rsidP="00494EE0">
      <w:pPr>
        <w:rPr>
          <w:rFonts w:ascii="Times New Roman" w:eastAsia="Times New Roman" w:hAnsi="Times New Roman" w:cs="Times New Roman"/>
          <w:sz w:val="22"/>
          <w:szCs w:val="22"/>
        </w:rPr>
      </w:pPr>
    </w:p>
    <w:p w14:paraId="55AEB800" w14:textId="673B5D2B" w:rsidR="00EF31C5" w:rsidRPr="00494EE0" w:rsidRDefault="00494EE0" w:rsidP="00494EE0">
      <w:pPr>
        <w:rPr>
          <w:rFonts w:ascii="Times New Roman" w:eastAsia="Times New Roman" w:hAnsi="Times New Roman" w:cs="Times New Roman"/>
          <w:b/>
          <w:bCs/>
          <w:sz w:val="22"/>
          <w:szCs w:val="22"/>
          <w:u w:val="single"/>
        </w:rPr>
      </w:pPr>
      <w:r w:rsidRPr="00494EE0">
        <w:rPr>
          <w:rFonts w:ascii="Times New Roman" w:eastAsia="Times New Roman" w:hAnsi="Times New Roman" w:cs="Times New Roman"/>
          <w:b/>
          <w:bCs/>
          <w:sz w:val="22"/>
          <w:szCs w:val="22"/>
          <w:u w:val="single"/>
        </w:rPr>
        <w:t xml:space="preserve">Gerstein lab experience in predicting disordered proteins and misfolding in </w:t>
      </w:r>
      <w:proofErr w:type="gramStart"/>
      <w:r w:rsidRPr="00494EE0">
        <w:rPr>
          <w:rFonts w:ascii="Times New Roman" w:eastAsia="Times New Roman" w:hAnsi="Times New Roman" w:cs="Times New Roman"/>
          <w:b/>
          <w:bCs/>
          <w:sz w:val="22"/>
          <w:szCs w:val="22"/>
          <w:u w:val="single"/>
        </w:rPr>
        <w:t>proteins</w:t>
      </w:r>
      <w:proofErr w:type="gramEnd"/>
    </w:p>
    <w:p w14:paraId="2AD5AEC5" w14:textId="77777777" w:rsidR="00EF31C5" w:rsidRPr="00494EE0" w:rsidRDefault="00EF31C5" w:rsidP="00EF31C5">
      <w:pPr>
        <w:widowControl w:val="0"/>
        <w:ind w:firstLine="720"/>
        <w:jc w:val="both"/>
        <w:rPr>
          <w:rFonts w:ascii="Times New Roman" w:eastAsia="Arial" w:hAnsi="Times New Roman" w:cs="Times New Roman"/>
          <w:sz w:val="22"/>
          <w:szCs w:val="22"/>
        </w:rPr>
      </w:pPr>
      <w:r w:rsidRPr="00494EE0">
        <w:rPr>
          <w:rFonts w:ascii="Times New Roman" w:eastAsia="Arial" w:hAnsi="Times New Roman" w:cs="Times New Roman"/>
          <w:noProof/>
          <w:sz w:val="22"/>
          <w:szCs w:val="22"/>
        </w:rPr>
        <mc:AlternateContent>
          <mc:Choice Requires="wps">
            <w:drawing>
              <wp:anchor distT="0" distB="0" distL="114300" distR="114300" simplePos="0" relativeHeight="251660288" behindDoc="1" locked="0" layoutInCell="1" allowOverlap="1" wp14:anchorId="07A7ED20" wp14:editId="4B6B9CA9">
                <wp:simplePos x="0" y="0"/>
                <wp:positionH relativeFrom="column">
                  <wp:posOffset>3430270</wp:posOffset>
                </wp:positionH>
                <wp:positionV relativeFrom="paragraph">
                  <wp:posOffset>352425</wp:posOffset>
                </wp:positionV>
                <wp:extent cx="2509520" cy="2519680"/>
                <wp:effectExtent l="0" t="0" r="17780" b="7620"/>
                <wp:wrapTight wrapText="bothSides">
                  <wp:wrapPolygon edited="0">
                    <wp:start x="0" y="0"/>
                    <wp:lineTo x="0" y="21556"/>
                    <wp:lineTo x="21644" y="21556"/>
                    <wp:lineTo x="21644" y="0"/>
                    <wp:lineTo x="0" y="0"/>
                  </wp:wrapPolygon>
                </wp:wrapTight>
                <wp:docPr id="1655564256" name="Text Box 2"/>
                <wp:cNvGraphicFramePr/>
                <a:graphic xmlns:a="http://schemas.openxmlformats.org/drawingml/2006/main">
                  <a:graphicData uri="http://schemas.microsoft.com/office/word/2010/wordprocessingShape">
                    <wps:wsp>
                      <wps:cNvSpPr txBox="1"/>
                      <wps:spPr>
                        <a:xfrm>
                          <a:off x="0" y="0"/>
                          <a:ext cx="2509520" cy="2519680"/>
                        </a:xfrm>
                        <a:prstGeom prst="rect">
                          <a:avLst/>
                        </a:prstGeom>
                        <a:solidFill>
                          <a:schemeClr val="lt1"/>
                        </a:solidFill>
                        <a:ln w="6350">
                          <a:solidFill>
                            <a:prstClr val="black"/>
                          </a:solidFill>
                        </a:ln>
                      </wps:spPr>
                      <wps:txbx>
                        <w:txbxContent>
                          <w:p w14:paraId="1D4B2226" w14:textId="77777777" w:rsidR="00EF31C5" w:rsidRDefault="00EF31C5" w:rsidP="00EF31C5">
                            <w:r>
                              <w:rPr>
                                <w:noProof/>
                              </w:rPr>
                              <w:drawing>
                                <wp:inline distT="0" distB="0" distL="0" distR="0" wp14:anchorId="03296FD5" wp14:editId="4A451EF2">
                                  <wp:extent cx="2183493" cy="1962289"/>
                                  <wp:effectExtent l="0" t="0" r="1270" b="0"/>
                                  <wp:docPr id="1899702172" name="image6.png" descr="A graph of a graph showing a number of dot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4" name="image6.png" descr="A graph of a graph showing a number of dots&#10;&#10;Description automatically generated with medium confidence"/>
                                          <pic:cNvPicPr/>
                                        </pic:nvPicPr>
                                        <pic:blipFill>
                                          <a:blip r:embed="rId4"/>
                                          <a:srcRect/>
                                          <a:stretch>
                                            <a:fillRect/>
                                          </a:stretch>
                                        </pic:blipFill>
                                        <pic:spPr>
                                          <a:xfrm>
                                            <a:off x="0" y="0"/>
                                            <a:ext cx="2283785" cy="2052420"/>
                                          </a:xfrm>
                                          <a:prstGeom prst="rect">
                                            <a:avLst/>
                                          </a:prstGeom>
                                          <a:ln/>
                                        </pic:spPr>
                                      </pic:pic>
                                    </a:graphicData>
                                  </a:graphic>
                                </wp:inline>
                              </w:drawing>
                            </w:r>
                          </w:p>
                          <w:p w14:paraId="6669C7F8" w14:textId="77777777" w:rsidR="00EF31C5" w:rsidRPr="00477E98" w:rsidRDefault="00EF31C5" w:rsidP="00EF31C5">
                            <w:pPr>
                              <w:jc w:val="both"/>
                              <w:rPr>
                                <w:rFonts w:ascii="Arial" w:hAnsi="Arial" w:cs="Arial"/>
                                <w:sz w:val="18"/>
                                <w:szCs w:val="18"/>
                              </w:rPr>
                            </w:pPr>
                            <w:r w:rsidRPr="00477E98">
                              <w:rPr>
                                <w:rFonts w:ascii="Arial" w:hAnsi="Arial" w:cs="Arial"/>
                                <w:b/>
                                <w:bCs/>
                                <w:sz w:val="18"/>
                                <w:szCs w:val="18"/>
                              </w:rPr>
                              <w:t xml:space="preserve">Fig. </w:t>
                            </w:r>
                            <w:r>
                              <w:rPr>
                                <w:rFonts w:ascii="Arial" w:hAnsi="Arial" w:cs="Arial"/>
                                <w:b/>
                                <w:bCs/>
                                <w:sz w:val="18"/>
                                <w:szCs w:val="18"/>
                              </w:rPr>
                              <w:t>1</w:t>
                            </w:r>
                            <w:r>
                              <w:rPr>
                                <w:rFonts w:ascii="Arial" w:hAnsi="Arial" w:cs="Arial"/>
                                <w:sz w:val="18"/>
                                <w:szCs w:val="18"/>
                              </w:rPr>
                              <w:t>.</w:t>
                            </w:r>
                            <w:r w:rsidRPr="00477E98">
                              <w:rPr>
                                <w:rFonts w:ascii="Arial" w:hAnsi="Arial" w:cs="Arial"/>
                                <w:sz w:val="18"/>
                                <w:szCs w:val="18"/>
                              </w:rPr>
                              <w:t xml:space="preserve"> PCA of the embedding vectors, extracted from the LLM, and the biophysical features for both classification tasks.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A7ED20" id="_x0000_t202" coordsize="21600,21600" o:spt="202" path="m,l,21600r21600,l21600,xe">
                <v:stroke joinstyle="miter"/>
                <v:path gradientshapeok="t" o:connecttype="rect"/>
              </v:shapetype>
              <v:shape id="Text Box 2" o:spid="_x0000_s1026" type="#_x0000_t202" style="position:absolute;left:0;text-align:left;margin-left:270.1pt;margin-top:27.75pt;width:197.6pt;height:19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" fillcolor="white [3201]" strokeweight=".5pt">
                <v:textbox>
                  <w:txbxContent>
                    <w:p w14:paraId="1D4B2226" w14:textId="77777777" w:rsidR="00EF31C5" w:rsidRDefault="00EF31C5" w:rsidP="00EF31C5">
                      <w:r>
                        <w:rPr>
                          <w:noProof/>
                        </w:rPr>
                        <w:drawing>
                          <wp:inline distT="0" distB="0" distL="0" distR="0" wp14:anchorId="03296FD5" wp14:editId="4A451EF2">
                            <wp:extent cx="2183493" cy="1962289"/>
                            <wp:effectExtent l="0" t="0" r="1270" b="0"/>
                            <wp:docPr id="1899702172" name="image6.png" descr="A graph of a graph showing a number of dot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4" name="image6.png" descr="A graph of a graph showing a number of dots&#10;&#10;Description automatically generated with medium confidence"/>
                                    <pic:cNvPicPr/>
                                  </pic:nvPicPr>
                                  <pic:blipFill>
                                    <a:blip r:embed="rId4"/>
                                    <a:srcRect/>
                                    <a:stretch>
                                      <a:fillRect/>
                                    </a:stretch>
                                  </pic:blipFill>
                                  <pic:spPr>
                                    <a:xfrm>
                                      <a:off x="0" y="0"/>
                                      <a:ext cx="2283785" cy="2052420"/>
                                    </a:xfrm>
                                    <a:prstGeom prst="rect">
                                      <a:avLst/>
                                    </a:prstGeom>
                                    <a:ln/>
                                  </pic:spPr>
                                </pic:pic>
                              </a:graphicData>
                            </a:graphic>
                          </wp:inline>
                        </w:drawing>
                      </w:r>
                    </w:p>
                    <w:p w14:paraId="6669C7F8" w14:textId="77777777" w:rsidR="00EF31C5" w:rsidRPr="00477E98" w:rsidRDefault="00EF31C5" w:rsidP="00EF31C5">
                      <w:pPr>
                        <w:jc w:val="both"/>
                        <w:rPr>
                          <w:rFonts w:ascii="Arial" w:hAnsi="Arial" w:cs="Arial"/>
                          <w:sz w:val="18"/>
                          <w:szCs w:val="18"/>
                        </w:rPr>
                      </w:pPr>
                      <w:r w:rsidRPr="00477E98">
                        <w:rPr>
                          <w:rFonts w:ascii="Arial" w:hAnsi="Arial" w:cs="Arial"/>
                          <w:b/>
                          <w:bCs/>
                          <w:sz w:val="18"/>
                          <w:szCs w:val="18"/>
                        </w:rPr>
                        <w:t xml:space="preserve">Fig. </w:t>
                      </w:r>
                      <w:r>
                        <w:rPr>
                          <w:rFonts w:ascii="Arial" w:hAnsi="Arial" w:cs="Arial"/>
                          <w:b/>
                          <w:bCs/>
                          <w:sz w:val="18"/>
                          <w:szCs w:val="18"/>
                        </w:rPr>
                        <w:t>1</w:t>
                      </w:r>
                      <w:r>
                        <w:rPr>
                          <w:rFonts w:ascii="Arial" w:hAnsi="Arial" w:cs="Arial"/>
                          <w:sz w:val="18"/>
                          <w:szCs w:val="18"/>
                        </w:rPr>
                        <w:t>.</w:t>
                      </w:r>
                      <w:r w:rsidRPr="00477E98">
                        <w:rPr>
                          <w:rFonts w:ascii="Arial" w:hAnsi="Arial" w:cs="Arial"/>
                          <w:sz w:val="18"/>
                          <w:szCs w:val="18"/>
                        </w:rPr>
                        <w:t xml:space="preserve"> PCA of the embedding vectors, extracted from the LLM, and the biophysical features for both classification tasks.</w:t>
                      </w:r>
                    </w:p>
                  </w:txbxContent>
                </v:textbox>
                <w10:wrap type="tight"/>
              </v:shape>
            </w:pict>
          </mc:Fallback>
        </mc:AlternateContent>
      </w:r>
      <w:r w:rsidRPr="00494EE0">
        <w:rPr>
          <w:rFonts w:ascii="Times New Roman" w:eastAsia="Arial" w:hAnsi="Times New Roman" w:cs="Times New Roman"/>
          <w:sz w:val="22"/>
          <w:szCs w:val="22"/>
        </w:rPr>
        <w:t xml:space="preserve">Protein phase transitions (PPTs), especially those observed </w:t>
      </w:r>
      <w:proofErr w:type="gramStart"/>
      <w:r w:rsidRPr="00494EE0">
        <w:rPr>
          <w:rFonts w:ascii="Times New Roman" w:eastAsia="Arial" w:hAnsi="Times New Roman" w:cs="Times New Roman"/>
          <w:sz w:val="22"/>
          <w:szCs w:val="22"/>
        </w:rPr>
        <w:t>as a result of</w:t>
      </w:r>
      <w:proofErr w:type="gramEnd"/>
      <w:r w:rsidRPr="00494EE0">
        <w:rPr>
          <w:rFonts w:ascii="Times New Roman" w:eastAsia="Arial" w:hAnsi="Times New Roman" w:cs="Times New Roman"/>
          <w:sz w:val="22"/>
          <w:szCs w:val="22"/>
        </w:rPr>
        <w:t xml:space="preserve"> disordered states and aggregation, have the potential to interfere with protein-ligand binding by altering target structures, reduce functional availability, and affect binding thermodynamics and kinetics. In our recent work (Frank et al, 2024) we leveraged LLMs by fine-tuning the pre-trained ESM-2 model to predict PPTs and aggregation. Specifically, we demonstrated that the LLM embedding vectors can differentiate between sequences with high aggregation propensity from those with low aggregation propensity (</w:t>
      </w:r>
      <w:r w:rsidRPr="00494EE0">
        <w:rPr>
          <w:rFonts w:ascii="Times New Roman" w:eastAsia="Arial" w:hAnsi="Times New Roman" w:cs="Times New Roman"/>
          <w:b/>
          <w:bCs/>
          <w:sz w:val="22"/>
          <w:szCs w:val="22"/>
        </w:rPr>
        <w:t>Fig. 1</w:t>
      </w:r>
      <w:r w:rsidRPr="00494EE0">
        <w:rPr>
          <w:rFonts w:ascii="Times New Roman" w:eastAsia="Arial" w:hAnsi="Times New Roman" w:cs="Times New Roman"/>
          <w:sz w:val="22"/>
          <w:szCs w:val="22"/>
        </w:rPr>
        <w:t xml:space="preserve">). </w:t>
      </w:r>
    </w:p>
    <w:p w14:paraId="103BCDCE" w14:textId="57162CAE" w:rsidR="00862B2F" w:rsidRPr="00862B2F" w:rsidRDefault="00EF31C5" w:rsidP="00862B2F">
      <w:pPr>
        <w:widowControl w:val="0"/>
        <w:ind w:firstLine="720"/>
        <w:jc w:val="both"/>
        <w:rPr>
          <w:rFonts w:ascii="Times New Roman" w:eastAsia="Arial" w:hAnsi="Times New Roman" w:cs="Times New Roman"/>
          <w:sz w:val="22"/>
          <w:szCs w:val="22"/>
        </w:rPr>
      </w:pPr>
      <w:r w:rsidRPr="00494EE0">
        <w:rPr>
          <w:rFonts w:ascii="Times New Roman" w:eastAsia="Arial" w:hAnsi="Times New Roman" w:cs="Times New Roman"/>
          <w:i/>
          <w:sz w:val="22"/>
          <w:szCs w:val="22"/>
        </w:rPr>
        <w:t>Preliminary results using GNNs to predict IDRs</w:t>
      </w:r>
      <w:r w:rsidRPr="00494EE0">
        <w:rPr>
          <w:rFonts w:ascii="Times New Roman" w:eastAsia="Arial" w:hAnsi="Times New Roman" w:cs="Times New Roman"/>
          <w:sz w:val="22"/>
          <w:szCs w:val="22"/>
        </w:rPr>
        <w:t xml:space="preserve">: We also developed a method that is designed to determine whether a specific subregion within a protein adopts disordered states (even if the entire protein itself does not adopt a disordered state) (Wang et al, 2024). Specifically, we introduced the GP-GNN framework, a GNN-based approach designed for predictive tasks where initially unknown subsystems may be crucial for information extraction. Our framework dynamically learns advantageous graph structures, hence, enabling improved graph representation learning. Specifically, we formulated a similarity measure that captures the probability of node pairs jointly exhibiting characteristic patterns within larger systems and used this measure to group nodes into clusters. Connections between clusters are considered unlikely to be relevant to the task and are removed, generating multiple subgraphs before graph representation learning via message passing. This is to confine information sharing within subgraphs during the initial network layers. We leveraged a linear </w:t>
      </w:r>
      <w:r w:rsidRPr="00494EE0">
        <w:rPr>
          <w:rFonts w:ascii="Times New Roman" w:eastAsia="Arial" w:hAnsi="Times New Roman" w:cs="Times New Roman"/>
          <w:sz w:val="22"/>
          <w:szCs w:val="22"/>
        </w:rPr>
        <w:lastRenderedPageBreak/>
        <w:t xml:space="preserve">layer to extract meta-features, allowing the similarity measure to be trained with task labels, thereby facilitating task-specific adjustments in the model’s predictions. In the final network layers, the framework captures interactions between the subgraphs. We demonstrated the effectiveness of GP-GNN for predicting protein liquid-liquid phase separation (LLPS), where the input consists of molecular protein graphs, and the output indicates whether the protein undergoes LLPS. </w:t>
      </w:r>
      <w:r w:rsidRPr="00494EE0">
        <w:rPr>
          <w:rFonts w:ascii="Times New Roman" w:eastAsia="Arial" w:hAnsi="Times New Roman" w:cs="Times New Roman"/>
          <w:b/>
          <w:bCs/>
          <w:sz w:val="22"/>
          <w:szCs w:val="22"/>
        </w:rPr>
        <w:t>Since LLPS is primarily driven by domains such as IDRs, GP-GNN identifies these critical domains as subgraphs.</w:t>
      </w:r>
      <w:r w:rsidRPr="00494EE0">
        <w:rPr>
          <w:rFonts w:ascii="Times New Roman" w:eastAsia="Arial" w:hAnsi="Times New Roman" w:cs="Times New Roman"/>
          <w:sz w:val="22"/>
          <w:szCs w:val="22"/>
        </w:rPr>
        <w:t xml:space="preserve"> Our model achieved state-of-the-art performance in predicting LLPS proteins, including regulators and scaffolds, using both PDB and </w:t>
      </w:r>
      <w:proofErr w:type="spellStart"/>
      <w:r w:rsidRPr="00494EE0">
        <w:rPr>
          <w:rFonts w:ascii="Times New Roman" w:eastAsia="Arial" w:hAnsi="Times New Roman" w:cs="Times New Roman"/>
          <w:sz w:val="22"/>
          <w:szCs w:val="22"/>
        </w:rPr>
        <w:t>AlphaFold</w:t>
      </w:r>
      <w:proofErr w:type="spellEnd"/>
      <w:r w:rsidRPr="00494EE0">
        <w:rPr>
          <w:rFonts w:ascii="Times New Roman" w:eastAsia="Arial" w:hAnsi="Times New Roman" w:cs="Times New Roman"/>
          <w:sz w:val="22"/>
          <w:szCs w:val="22"/>
        </w:rPr>
        <w:t>-generated graph structures. Additionally, in related work, we showed that a similar approach accurately identified tumor and microenvironment regions that align closely with pathologist annotations (Song et al, 2024).</w:t>
      </w:r>
    </w:p>
    <w:p w14:paraId="21411358" w14:textId="620854E2" w:rsidR="00862B2F" w:rsidRPr="006E5F9E" w:rsidRDefault="006E5F9E" w:rsidP="006E5F9E">
      <w:pPr>
        <w:rPr>
          <w:rFonts w:ascii="Times New Roman" w:eastAsia="Times New Roman" w:hAnsi="Times New Roman" w:cs="Times New Roman"/>
          <w:b/>
          <w:bCs/>
          <w:sz w:val="22"/>
          <w:szCs w:val="22"/>
          <w:u w:val="single"/>
        </w:rPr>
      </w:pPr>
      <w:r w:rsidRPr="006E5F9E">
        <w:rPr>
          <w:rFonts w:ascii="Times New Roman" w:eastAsia="Times New Roman" w:hAnsi="Times New Roman" w:cs="Times New Roman"/>
          <w:b/>
          <w:bCs/>
          <w:sz w:val="22"/>
          <w:szCs w:val="22"/>
          <w:u w:val="single"/>
        </w:rPr>
        <w:t xml:space="preserve">Gerstein lab experience in studying protein </w:t>
      </w:r>
      <w:proofErr w:type="gramStart"/>
      <w:r w:rsidRPr="006E5F9E">
        <w:rPr>
          <w:rFonts w:ascii="Times New Roman" w:eastAsia="Times New Roman" w:hAnsi="Times New Roman" w:cs="Times New Roman"/>
          <w:b/>
          <w:bCs/>
          <w:sz w:val="22"/>
          <w:szCs w:val="22"/>
          <w:u w:val="single"/>
        </w:rPr>
        <w:t>dynamics</w:t>
      </w:r>
      <w:proofErr w:type="gramEnd"/>
    </w:p>
    <w:p w14:paraId="51F5822C" w14:textId="77777777" w:rsidR="00EF31C5" w:rsidRPr="00494EE0" w:rsidRDefault="00EF31C5" w:rsidP="00EF31C5">
      <w:pPr>
        <w:widowControl w:val="0"/>
        <w:ind w:firstLine="720"/>
        <w:jc w:val="both"/>
        <w:rPr>
          <w:rFonts w:ascii="Times New Roman" w:eastAsia="Arial" w:hAnsi="Times New Roman" w:cs="Times New Roman"/>
          <w:b/>
          <w:i/>
          <w:sz w:val="22"/>
          <w:szCs w:val="22"/>
        </w:rPr>
      </w:pPr>
      <w:r w:rsidRPr="00494EE0">
        <w:rPr>
          <w:rFonts w:ascii="Times New Roman" w:eastAsia="Arial" w:hAnsi="Times New Roman" w:cs="Times New Roman"/>
          <w:b/>
          <w:i/>
          <w:noProof/>
          <w:sz w:val="22"/>
          <w:szCs w:val="22"/>
        </w:rPr>
        <mc:AlternateContent>
          <mc:Choice Requires="wps">
            <w:drawing>
              <wp:anchor distT="0" distB="0" distL="114300" distR="114300" simplePos="0" relativeHeight="251659264" behindDoc="1" locked="0" layoutInCell="1" allowOverlap="1" wp14:anchorId="59D2D236" wp14:editId="10009F2E">
                <wp:simplePos x="0" y="0"/>
                <wp:positionH relativeFrom="column">
                  <wp:posOffset>3598800</wp:posOffset>
                </wp:positionH>
                <wp:positionV relativeFrom="paragraph">
                  <wp:posOffset>83185</wp:posOffset>
                </wp:positionV>
                <wp:extent cx="2341880" cy="1880235"/>
                <wp:effectExtent l="0" t="0" r="7620" b="12065"/>
                <wp:wrapTight wrapText="bothSides">
                  <wp:wrapPolygon edited="0">
                    <wp:start x="0" y="0"/>
                    <wp:lineTo x="0" y="21593"/>
                    <wp:lineTo x="21553" y="21593"/>
                    <wp:lineTo x="21553" y="0"/>
                    <wp:lineTo x="0" y="0"/>
                  </wp:wrapPolygon>
                </wp:wrapTight>
                <wp:docPr id="1766027761" name="Text Box 1"/>
                <wp:cNvGraphicFramePr/>
                <a:graphic xmlns:a="http://schemas.openxmlformats.org/drawingml/2006/main">
                  <a:graphicData uri="http://schemas.microsoft.com/office/word/2010/wordprocessingShape">
                    <wps:wsp>
                      <wps:cNvSpPr txBox="1"/>
                      <wps:spPr>
                        <a:xfrm>
                          <a:off x="0" y="0"/>
                          <a:ext cx="2341880" cy="1880235"/>
                        </a:xfrm>
                        <a:prstGeom prst="rect">
                          <a:avLst/>
                        </a:prstGeom>
                        <a:solidFill>
                          <a:schemeClr val="lt1"/>
                        </a:solidFill>
                        <a:ln w="6350">
                          <a:solidFill>
                            <a:prstClr val="black"/>
                          </a:solidFill>
                        </a:ln>
                      </wps:spPr>
                      <wps:txbx>
                        <w:txbxContent>
                          <w:p w14:paraId="7A9A8F87" w14:textId="77777777" w:rsidR="00EF31C5" w:rsidRDefault="00EF31C5" w:rsidP="00EF31C5">
                            <w:r>
                              <w:rPr>
                                <w:noProof/>
                              </w:rPr>
                              <w:drawing>
                                <wp:inline distT="0" distB="0" distL="0" distR="0" wp14:anchorId="7273B441" wp14:editId="5BD7045E">
                                  <wp:extent cx="2258695" cy="1000760"/>
                                  <wp:effectExtent l="0" t="0" r="1905" b="2540"/>
                                  <wp:docPr id="107888237" name="image10.png" descr="A diagram of different types of clouds&#10;&#10;Description automatically generated"/>
                                  <wp:cNvGraphicFramePr/>
                                  <a:graphic xmlns:a="http://schemas.openxmlformats.org/drawingml/2006/main">
                                    <a:graphicData uri="http://schemas.openxmlformats.org/drawingml/2006/picture">
                                      <pic:pic xmlns:pic="http://schemas.openxmlformats.org/drawingml/2006/picture">
                                        <pic:nvPicPr>
                                          <pic:cNvPr id="13" name="image10.png" descr="A diagram of different types of clouds&#10;&#10;Description automatically generated"/>
                                          <pic:cNvPicPr/>
                                        </pic:nvPicPr>
                                        <pic:blipFill>
                                          <a:blip r:embed="rId5"/>
                                          <a:srcRect/>
                                          <a:stretch>
                                            <a:fillRect/>
                                          </a:stretch>
                                        </pic:blipFill>
                                        <pic:spPr>
                                          <a:xfrm>
                                            <a:off x="0" y="0"/>
                                            <a:ext cx="2258695" cy="1000760"/>
                                          </a:xfrm>
                                          <a:prstGeom prst="rect">
                                            <a:avLst/>
                                          </a:prstGeom>
                                          <a:ln/>
                                        </pic:spPr>
                                      </pic:pic>
                                    </a:graphicData>
                                  </a:graphic>
                                </wp:inline>
                              </w:drawing>
                            </w:r>
                          </w:p>
                          <w:p w14:paraId="16811E4A" w14:textId="77777777" w:rsidR="00EF31C5" w:rsidRPr="000005AA" w:rsidRDefault="00EF31C5" w:rsidP="00EF31C5">
                            <w:pPr>
                              <w:jc w:val="both"/>
                              <w:rPr>
                                <w:rFonts w:ascii="Arial" w:hAnsi="Arial" w:cs="Arial"/>
                                <w:sz w:val="18"/>
                                <w:szCs w:val="18"/>
                              </w:rPr>
                            </w:pPr>
                            <w:r w:rsidRPr="000005AA">
                              <w:rPr>
                                <w:rFonts w:ascii="Arial" w:hAnsi="Arial" w:cs="Arial"/>
                                <w:b/>
                                <w:bCs/>
                                <w:sz w:val="18"/>
                                <w:szCs w:val="18"/>
                              </w:rPr>
                              <w:t xml:space="preserve">Fig </w:t>
                            </w:r>
                            <w:r>
                              <w:rPr>
                                <w:rFonts w:ascii="Arial" w:hAnsi="Arial" w:cs="Arial"/>
                                <w:b/>
                                <w:bCs/>
                                <w:sz w:val="18"/>
                                <w:szCs w:val="18"/>
                              </w:rPr>
                              <w:t>2</w:t>
                            </w:r>
                            <w:r w:rsidRPr="000005AA">
                              <w:rPr>
                                <w:rFonts w:ascii="Arial" w:hAnsi="Arial" w:cs="Arial"/>
                                <w:sz w:val="18"/>
                                <w:szCs w:val="18"/>
                              </w:rPr>
                              <w:t>. STRESS. Identifying key surface pockets using Monte Carlo simulations. This approach is designed to identify candidate sites wherein ligand occlusion may drastically affect conformational changes and dynamics (top-right).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2D236" id="Text Box 1" o:spid="_x0000_s1027" type="#_x0000_t202" style="position:absolute;left:0;text-align:left;margin-left:283.35pt;margin-top:6.55pt;width:184.4pt;height:14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" fillcolor="white [3201]" strokeweight=".5pt">
                <v:textbox>
                  <w:txbxContent>
                    <w:p w14:paraId="7A9A8F87" w14:textId="77777777" w:rsidR="00EF31C5" w:rsidRDefault="00EF31C5" w:rsidP="00EF31C5">
                      <w:r>
                        <w:rPr>
                          <w:noProof/>
                        </w:rPr>
                        <w:drawing>
                          <wp:inline distT="0" distB="0" distL="0" distR="0" wp14:anchorId="7273B441" wp14:editId="5BD7045E">
                            <wp:extent cx="2258695" cy="1000760"/>
                            <wp:effectExtent l="0" t="0" r="1905" b="2540"/>
                            <wp:docPr id="107888237" name="image10.png" descr="A diagram of different types of clouds&#10;&#10;Description automatically generated"/>
                            <wp:cNvGraphicFramePr/>
                            <a:graphic xmlns:a="http://schemas.openxmlformats.org/drawingml/2006/main">
                              <a:graphicData uri="http://schemas.openxmlformats.org/drawingml/2006/picture">
                                <pic:pic xmlns:pic="http://schemas.openxmlformats.org/drawingml/2006/picture">
                                  <pic:nvPicPr>
                                    <pic:cNvPr id="13" name="image10.png" descr="A diagram of different types of clouds&#10;&#10;Description automatically generated"/>
                                    <pic:cNvPicPr/>
                                  </pic:nvPicPr>
                                  <pic:blipFill>
                                    <a:blip r:embed="rId5"/>
                                    <a:srcRect/>
                                    <a:stretch>
                                      <a:fillRect/>
                                    </a:stretch>
                                  </pic:blipFill>
                                  <pic:spPr>
                                    <a:xfrm>
                                      <a:off x="0" y="0"/>
                                      <a:ext cx="2258695" cy="1000760"/>
                                    </a:xfrm>
                                    <a:prstGeom prst="rect">
                                      <a:avLst/>
                                    </a:prstGeom>
                                    <a:ln/>
                                  </pic:spPr>
                                </pic:pic>
                              </a:graphicData>
                            </a:graphic>
                          </wp:inline>
                        </w:drawing>
                      </w:r>
                    </w:p>
                    <w:p w14:paraId="16811E4A" w14:textId="77777777" w:rsidR="00EF31C5" w:rsidRPr="000005AA" w:rsidRDefault="00EF31C5" w:rsidP="00EF31C5">
                      <w:pPr>
                        <w:jc w:val="both"/>
                        <w:rPr>
                          <w:rFonts w:ascii="Arial" w:hAnsi="Arial" w:cs="Arial"/>
                          <w:sz w:val="18"/>
                          <w:szCs w:val="18"/>
                        </w:rPr>
                      </w:pPr>
                      <w:r w:rsidRPr="000005AA">
                        <w:rPr>
                          <w:rFonts w:ascii="Arial" w:hAnsi="Arial" w:cs="Arial"/>
                          <w:b/>
                          <w:bCs/>
                          <w:sz w:val="18"/>
                          <w:szCs w:val="18"/>
                        </w:rPr>
                        <w:t xml:space="preserve">Fig </w:t>
                      </w:r>
                      <w:r>
                        <w:rPr>
                          <w:rFonts w:ascii="Arial" w:hAnsi="Arial" w:cs="Arial"/>
                          <w:b/>
                          <w:bCs/>
                          <w:sz w:val="18"/>
                          <w:szCs w:val="18"/>
                        </w:rPr>
                        <w:t>2</w:t>
                      </w:r>
                      <w:r w:rsidRPr="000005AA">
                        <w:rPr>
                          <w:rFonts w:ascii="Arial" w:hAnsi="Arial" w:cs="Arial"/>
                          <w:sz w:val="18"/>
                          <w:szCs w:val="18"/>
                        </w:rPr>
                        <w:t>. STRESS. Identifying key surface pockets using Monte Carlo simulations. This approach is designed to identify candidate sites wherein ligand occlusion may drastically affect conformational changes and dynamics (top-right).</w:t>
                      </w:r>
                    </w:p>
                  </w:txbxContent>
                </v:textbox>
                <w10:wrap type="tight"/>
              </v:shape>
            </w:pict>
          </mc:Fallback>
        </mc:AlternateContent>
      </w:r>
      <w:r w:rsidRPr="00494EE0">
        <w:rPr>
          <w:rFonts w:ascii="Times New Roman" w:eastAsia="Arial" w:hAnsi="Times New Roman" w:cs="Times New Roman"/>
          <w:sz w:val="22"/>
          <w:szCs w:val="22"/>
        </w:rPr>
        <w:t xml:space="preserve">We developed STRESS, a tool to identify allosteric residues from protein structures (Clarke et al, 2016). STRESS employs coarse-grained models of protein dynamics and conformational changes </w:t>
      </w:r>
      <w:proofErr w:type="gramStart"/>
      <w:r w:rsidRPr="00494EE0">
        <w:rPr>
          <w:rFonts w:ascii="Times New Roman" w:eastAsia="Arial" w:hAnsi="Times New Roman" w:cs="Times New Roman"/>
          <w:sz w:val="22"/>
          <w:szCs w:val="22"/>
        </w:rPr>
        <w:t>in order to</w:t>
      </w:r>
      <w:proofErr w:type="gramEnd"/>
      <w:r w:rsidRPr="00494EE0">
        <w:rPr>
          <w:rFonts w:ascii="Times New Roman" w:eastAsia="Arial" w:hAnsi="Times New Roman" w:cs="Times New Roman"/>
          <w:sz w:val="22"/>
          <w:szCs w:val="22"/>
        </w:rPr>
        <w:t xml:space="preserve"> predict surface pockets that may strongly influence dynamics if occluded by ligands (</w:t>
      </w:r>
      <w:r w:rsidRPr="00494EE0">
        <w:rPr>
          <w:rFonts w:ascii="Times New Roman" w:eastAsia="Arial" w:hAnsi="Times New Roman" w:cs="Times New Roman"/>
          <w:b/>
          <w:sz w:val="22"/>
          <w:szCs w:val="22"/>
        </w:rPr>
        <w:t>Fig. 2</w:t>
      </w:r>
      <w:r w:rsidRPr="00494EE0">
        <w:rPr>
          <w:rFonts w:ascii="Times New Roman" w:eastAsia="Arial" w:hAnsi="Times New Roman" w:cs="Times New Roman"/>
          <w:sz w:val="22"/>
          <w:szCs w:val="22"/>
        </w:rPr>
        <w:t>). We have used this tool to highlight examples of allosteric residues that help explain disease-associated variants. Using the same dynamic model generation scheme applied by STRESS, we also developed ​​</w:t>
      </w:r>
      <w:proofErr w:type="spellStart"/>
      <w:r w:rsidRPr="00494EE0">
        <w:rPr>
          <w:rFonts w:ascii="Times New Roman" w:eastAsia="Arial" w:hAnsi="Times New Roman" w:cs="Times New Roman"/>
          <w:sz w:val="22"/>
          <w:szCs w:val="22"/>
        </w:rPr>
        <w:t>HotCommics</w:t>
      </w:r>
      <w:proofErr w:type="spellEnd"/>
      <w:r w:rsidRPr="00494EE0">
        <w:rPr>
          <w:rFonts w:ascii="Times New Roman" w:eastAsia="Arial" w:hAnsi="Times New Roman" w:cs="Times New Roman"/>
          <w:sz w:val="22"/>
          <w:szCs w:val="22"/>
        </w:rPr>
        <w:t>, a framework to identify cancer driver genes using a dynamics-based search of mutational hotspot communities within structures (Kumar et al, 2019). Relative to existing cancer hotspot detection methods using structural data, we applied ​​</w:t>
      </w:r>
      <w:proofErr w:type="spellStart"/>
      <w:r w:rsidRPr="00494EE0">
        <w:rPr>
          <w:rFonts w:ascii="Times New Roman" w:eastAsia="Arial" w:hAnsi="Times New Roman" w:cs="Times New Roman"/>
          <w:sz w:val="22"/>
          <w:szCs w:val="22"/>
        </w:rPr>
        <w:t>HotCommics</w:t>
      </w:r>
      <w:proofErr w:type="spellEnd"/>
      <w:r w:rsidRPr="00494EE0">
        <w:rPr>
          <w:rFonts w:ascii="Times New Roman" w:eastAsia="Arial" w:hAnsi="Times New Roman" w:cs="Times New Roman"/>
          <w:sz w:val="22"/>
          <w:szCs w:val="22"/>
        </w:rPr>
        <w:t xml:space="preserve"> to demonstrate how protein dynamics significantly increases the sensitivity </w:t>
      </w:r>
      <w:r w:rsidRPr="00494EE0">
        <w:rPr>
          <w:rFonts w:ascii="Times New Roman" w:eastAsia="Arial" w:hAnsi="Times New Roman" w:cs="Times New Roman"/>
          <w:bCs/>
          <w:iCs/>
          <w:sz w:val="22"/>
          <w:szCs w:val="22"/>
        </w:rPr>
        <w:t>for detecting disease-associated gene</w:t>
      </w:r>
      <w:r w:rsidRPr="00494EE0">
        <w:rPr>
          <w:rFonts w:ascii="Times New Roman" w:eastAsia="Arial" w:hAnsi="Times New Roman" w:cs="Times New Roman"/>
          <w:sz w:val="22"/>
          <w:szCs w:val="22"/>
        </w:rPr>
        <w:t xml:space="preserve">. </w:t>
      </w:r>
    </w:p>
    <w:p w14:paraId="528FA5C1" w14:textId="77777777" w:rsidR="00EF31C5" w:rsidRDefault="00EF31C5" w:rsidP="00EF31C5">
      <w:pPr>
        <w:widowControl w:val="0"/>
        <w:jc w:val="both"/>
        <w:rPr>
          <w:rFonts w:ascii="Times New Roman" w:eastAsia="Arial" w:hAnsi="Times New Roman" w:cs="Times New Roman"/>
          <w:sz w:val="22"/>
          <w:szCs w:val="22"/>
        </w:rPr>
      </w:pPr>
    </w:p>
    <w:p w14:paraId="445184B9" w14:textId="271152F0" w:rsidR="006E5F9E" w:rsidRPr="006E5F9E" w:rsidRDefault="006E5F9E" w:rsidP="006E5F9E">
      <w:pPr>
        <w:rPr>
          <w:rFonts w:ascii="Times New Roman" w:eastAsia="Times New Roman" w:hAnsi="Times New Roman" w:cs="Times New Roman"/>
          <w:b/>
          <w:bCs/>
          <w:sz w:val="22"/>
          <w:szCs w:val="22"/>
          <w:u w:val="single"/>
        </w:rPr>
      </w:pPr>
      <w:r w:rsidRPr="006E5F9E">
        <w:rPr>
          <w:rFonts w:ascii="Times New Roman" w:eastAsia="Times New Roman" w:hAnsi="Times New Roman" w:cs="Times New Roman"/>
          <w:b/>
          <w:bCs/>
          <w:sz w:val="22"/>
          <w:szCs w:val="22"/>
          <w:u w:val="single"/>
        </w:rPr>
        <w:t xml:space="preserve">Gerstein lab experience in studying sequence </w:t>
      </w:r>
      <w:proofErr w:type="gramStart"/>
      <w:r w:rsidRPr="006E5F9E">
        <w:rPr>
          <w:rFonts w:ascii="Times New Roman" w:eastAsia="Times New Roman" w:hAnsi="Times New Roman" w:cs="Times New Roman"/>
          <w:b/>
          <w:bCs/>
          <w:sz w:val="22"/>
          <w:szCs w:val="22"/>
          <w:u w:val="single"/>
        </w:rPr>
        <w:t>variation</w:t>
      </w:r>
      <w:proofErr w:type="gramEnd"/>
    </w:p>
    <w:p w14:paraId="27A2BB66" w14:textId="5DF653C9" w:rsidR="00EF31C5" w:rsidRPr="00494EE0" w:rsidRDefault="006E5F9E" w:rsidP="00EF31C5">
      <w:pPr>
        <w:widowControl w:val="0"/>
        <w:jc w:val="both"/>
        <w:rPr>
          <w:rFonts w:ascii="Times New Roman" w:eastAsia="Arial" w:hAnsi="Times New Roman" w:cs="Times New Roman"/>
          <w:color w:val="333333"/>
          <w:sz w:val="22"/>
          <w:szCs w:val="22"/>
          <w:highlight w:val="white"/>
        </w:rPr>
      </w:pPr>
      <w:r w:rsidRPr="00494EE0">
        <w:rPr>
          <w:rFonts w:ascii="Times New Roman" w:eastAsia="Arial" w:hAnsi="Times New Roman" w:cs="Times New Roman"/>
          <w:noProof/>
          <w:color w:val="333333"/>
          <w:sz w:val="22"/>
          <w:szCs w:val="22"/>
        </w:rPr>
        <mc:AlternateContent>
          <mc:Choice Requires="wps">
            <w:drawing>
              <wp:anchor distT="0" distB="0" distL="114300" distR="114300" simplePos="0" relativeHeight="251661312" behindDoc="1" locked="0" layoutInCell="1" allowOverlap="1" wp14:anchorId="694CCF70" wp14:editId="2BABD71E">
                <wp:simplePos x="0" y="0"/>
                <wp:positionH relativeFrom="column">
                  <wp:posOffset>2768378</wp:posOffset>
                </wp:positionH>
                <wp:positionV relativeFrom="paragraph">
                  <wp:posOffset>332105</wp:posOffset>
                </wp:positionV>
                <wp:extent cx="3168015" cy="1882775"/>
                <wp:effectExtent l="0" t="0" r="6985" b="9525"/>
                <wp:wrapTight wrapText="bothSides">
                  <wp:wrapPolygon edited="0">
                    <wp:start x="0" y="0"/>
                    <wp:lineTo x="0" y="21564"/>
                    <wp:lineTo x="21561" y="21564"/>
                    <wp:lineTo x="21561" y="0"/>
                    <wp:lineTo x="0" y="0"/>
                  </wp:wrapPolygon>
                </wp:wrapTight>
                <wp:docPr id="1953923645" name="Text Box 3"/>
                <wp:cNvGraphicFramePr/>
                <a:graphic xmlns:a="http://schemas.openxmlformats.org/drawingml/2006/main">
                  <a:graphicData uri="http://schemas.microsoft.com/office/word/2010/wordprocessingShape">
                    <wps:wsp>
                      <wps:cNvSpPr txBox="1"/>
                      <wps:spPr>
                        <a:xfrm>
                          <a:off x="0" y="0"/>
                          <a:ext cx="3168015" cy="1882775"/>
                        </a:xfrm>
                        <a:prstGeom prst="rect">
                          <a:avLst/>
                        </a:prstGeom>
                        <a:solidFill>
                          <a:schemeClr val="lt1"/>
                        </a:solidFill>
                        <a:ln w="6350">
                          <a:solidFill>
                            <a:prstClr val="black"/>
                          </a:solidFill>
                        </a:ln>
                      </wps:spPr>
                      <wps:txbx>
                        <w:txbxContent>
                          <w:p w14:paraId="62CF7392" w14:textId="77777777" w:rsidR="00EF31C5" w:rsidRDefault="00EF31C5" w:rsidP="00EF31C5">
                            <w:r>
                              <w:rPr>
                                <w:noProof/>
                              </w:rPr>
                              <w:drawing>
                                <wp:inline distT="0" distB="0" distL="0" distR="0" wp14:anchorId="2B74E0C7" wp14:editId="3DE001B8">
                                  <wp:extent cx="3034665" cy="1496695"/>
                                  <wp:effectExtent l="0" t="0" r="635" b="1905"/>
                                  <wp:docPr id="349469115" name="image3.jpg" descr="A diagram of a model of mutated structure&#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3.jpg" descr="A diagram of a model of mutated structure&#10;&#10;Description automatically generated"/>
                                          <pic:cNvPicPr/>
                                        </pic:nvPicPr>
                                        <pic:blipFill>
                                          <a:blip r:embed="rId6"/>
                                          <a:srcRect/>
                                          <a:stretch>
                                            <a:fillRect/>
                                          </a:stretch>
                                        </pic:blipFill>
                                        <pic:spPr>
                                          <a:xfrm>
                                            <a:off x="0" y="0"/>
                                            <a:ext cx="3034665" cy="1496695"/>
                                          </a:xfrm>
                                          <a:prstGeom prst="rect">
                                            <a:avLst/>
                                          </a:prstGeom>
                                          <a:ln/>
                                        </pic:spPr>
                                      </pic:pic>
                                    </a:graphicData>
                                  </a:graphic>
                                </wp:inline>
                              </w:drawing>
                            </w:r>
                          </w:p>
                          <w:p w14:paraId="4B9197AF" w14:textId="77777777" w:rsidR="00EF31C5" w:rsidRPr="00A35D7C" w:rsidRDefault="00EF31C5" w:rsidP="00EF31C5">
                            <w:pPr>
                              <w:widowControl w:val="0"/>
                              <w:jc w:val="both"/>
                              <w:rPr>
                                <w:rFonts w:ascii="Arial" w:eastAsia="Arial" w:hAnsi="Arial" w:cs="Arial"/>
                                <w:b/>
                                <w:i/>
                                <w:color w:val="333333"/>
                                <w:sz w:val="18"/>
                                <w:szCs w:val="18"/>
                                <w:highlight w:val="white"/>
                              </w:rPr>
                            </w:pPr>
                            <w:r w:rsidRPr="00A03E68">
                              <w:rPr>
                                <w:rFonts w:ascii="Arial" w:eastAsia="Arial" w:hAnsi="Arial" w:cs="Arial"/>
                                <w:b/>
                                <w:iCs/>
                                <w:color w:val="333333"/>
                                <w:sz w:val="18"/>
                                <w:szCs w:val="18"/>
                                <w:highlight w:val="white"/>
                              </w:rPr>
                              <w:t xml:space="preserve">Fig. </w:t>
                            </w:r>
                            <w:r>
                              <w:rPr>
                                <w:rFonts w:ascii="Arial" w:eastAsia="Arial" w:hAnsi="Arial" w:cs="Arial"/>
                                <w:b/>
                                <w:iCs/>
                                <w:color w:val="333333"/>
                                <w:sz w:val="18"/>
                                <w:szCs w:val="18"/>
                                <w:highlight w:val="white"/>
                              </w:rPr>
                              <w:t>3</w:t>
                            </w:r>
                            <w:r w:rsidRPr="00A03E68">
                              <w:rPr>
                                <w:rFonts w:ascii="Arial" w:eastAsia="Arial" w:hAnsi="Arial" w:cs="Arial"/>
                                <w:bCs/>
                                <w:iCs/>
                                <w:color w:val="333333"/>
                                <w:sz w:val="18"/>
                                <w:szCs w:val="18"/>
                                <w:highlight w:val="white"/>
                              </w:rPr>
                              <w:t xml:space="preserve">. </w:t>
                            </w:r>
                            <w:r w:rsidRPr="00A35D7C">
                              <w:rPr>
                                <w:rFonts w:ascii="Arial" w:eastAsia="Arial" w:hAnsi="Arial" w:cs="Arial"/>
                                <w:bCs/>
                                <w:iCs/>
                                <w:color w:val="333333"/>
                                <w:sz w:val="18"/>
                                <w:szCs w:val="18"/>
                                <w:highlight w:val="white"/>
                              </w:rPr>
                              <w:t>Prioritizing the effect of SNVs based on changes in localized perturbations (as measured by frustration).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CCF70" id="Text Box 3" o:spid="_x0000_s1028" type="#_x0000_t202" style="position:absolute;left:0;text-align:left;margin-left:218pt;margin-top:26.15pt;width:249.45pt;height:14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" fillcolor="white [3201]" strokeweight=".5pt">
                <v:textbox>
                  <w:txbxContent>
                    <w:p w14:paraId="62CF7392" w14:textId="77777777" w:rsidR="00EF31C5" w:rsidRDefault="00EF31C5" w:rsidP="00EF31C5">
                      <w:r>
                        <w:rPr>
                          <w:noProof/>
                        </w:rPr>
                        <w:drawing>
                          <wp:inline distT="0" distB="0" distL="0" distR="0" wp14:anchorId="2B74E0C7" wp14:editId="3DE001B8">
                            <wp:extent cx="3034665" cy="1496695"/>
                            <wp:effectExtent l="0" t="0" r="635" b="1905"/>
                            <wp:docPr id="349469115" name="image3.jpg" descr="A diagram of a model of mutated structure&#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3.jpg" descr="A diagram of a model of mutated structure&#10;&#10;Description automatically generated"/>
                                    <pic:cNvPicPr/>
                                  </pic:nvPicPr>
                                  <pic:blipFill>
                                    <a:blip r:embed="rId6"/>
                                    <a:srcRect/>
                                    <a:stretch>
                                      <a:fillRect/>
                                    </a:stretch>
                                  </pic:blipFill>
                                  <pic:spPr>
                                    <a:xfrm>
                                      <a:off x="0" y="0"/>
                                      <a:ext cx="3034665" cy="1496695"/>
                                    </a:xfrm>
                                    <a:prstGeom prst="rect">
                                      <a:avLst/>
                                    </a:prstGeom>
                                    <a:ln/>
                                  </pic:spPr>
                                </pic:pic>
                              </a:graphicData>
                            </a:graphic>
                          </wp:inline>
                        </w:drawing>
                      </w:r>
                    </w:p>
                    <w:p w14:paraId="4B9197AF" w14:textId="77777777" w:rsidR="00EF31C5" w:rsidRPr="00A35D7C" w:rsidRDefault="00EF31C5" w:rsidP="00EF31C5">
                      <w:pPr>
                        <w:widowControl w:val="0"/>
                        <w:jc w:val="both"/>
                        <w:rPr>
                          <w:rFonts w:ascii="Arial" w:eastAsia="Arial" w:hAnsi="Arial" w:cs="Arial"/>
                          <w:b/>
                          <w:i/>
                          <w:color w:val="333333"/>
                          <w:sz w:val="18"/>
                          <w:szCs w:val="18"/>
                          <w:highlight w:val="white"/>
                        </w:rPr>
                      </w:pPr>
                      <w:r w:rsidRPr="00A03E68">
                        <w:rPr>
                          <w:rFonts w:ascii="Arial" w:eastAsia="Arial" w:hAnsi="Arial" w:cs="Arial"/>
                          <w:b/>
                          <w:iCs/>
                          <w:color w:val="333333"/>
                          <w:sz w:val="18"/>
                          <w:szCs w:val="18"/>
                          <w:highlight w:val="white"/>
                        </w:rPr>
                        <w:t xml:space="preserve">Fig. </w:t>
                      </w:r>
                      <w:r>
                        <w:rPr>
                          <w:rFonts w:ascii="Arial" w:eastAsia="Arial" w:hAnsi="Arial" w:cs="Arial"/>
                          <w:b/>
                          <w:iCs/>
                          <w:color w:val="333333"/>
                          <w:sz w:val="18"/>
                          <w:szCs w:val="18"/>
                          <w:highlight w:val="white"/>
                        </w:rPr>
                        <w:t>3</w:t>
                      </w:r>
                      <w:r w:rsidRPr="00A03E68">
                        <w:rPr>
                          <w:rFonts w:ascii="Arial" w:eastAsia="Arial" w:hAnsi="Arial" w:cs="Arial"/>
                          <w:bCs/>
                          <w:iCs/>
                          <w:color w:val="333333"/>
                          <w:sz w:val="18"/>
                          <w:szCs w:val="18"/>
                          <w:highlight w:val="white"/>
                        </w:rPr>
                        <w:t xml:space="preserve">. </w:t>
                      </w:r>
                      <w:r w:rsidRPr="00A35D7C">
                        <w:rPr>
                          <w:rFonts w:ascii="Arial" w:eastAsia="Arial" w:hAnsi="Arial" w:cs="Arial"/>
                          <w:bCs/>
                          <w:iCs/>
                          <w:color w:val="333333"/>
                          <w:sz w:val="18"/>
                          <w:szCs w:val="18"/>
                          <w:highlight w:val="white"/>
                        </w:rPr>
                        <w:t>Prioritizing the effect of SNVs based on changes in localized perturbations (as measured by frustration).</w:t>
                      </w:r>
                    </w:p>
                  </w:txbxContent>
                </v:textbox>
                <w10:wrap type="tight"/>
              </v:shape>
            </w:pict>
          </mc:Fallback>
        </mc:AlternateContent>
      </w:r>
      <w:r w:rsidR="00EF31C5" w:rsidRPr="00494EE0">
        <w:rPr>
          <w:rFonts w:ascii="Times New Roman" w:eastAsia="Arial" w:hAnsi="Times New Roman" w:cs="Times New Roman"/>
          <w:i/>
          <w:sz w:val="22"/>
          <w:szCs w:val="22"/>
        </w:rPr>
        <w:t>Preliminary results on studying genomic sequence variation</w:t>
      </w:r>
      <w:r w:rsidR="00EF31C5" w:rsidRPr="00494EE0">
        <w:rPr>
          <w:rFonts w:ascii="Times New Roman" w:eastAsia="Arial" w:hAnsi="Times New Roman" w:cs="Times New Roman"/>
          <w:sz w:val="22"/>
          <w:szCs w:val="22"/>
        </w:rPr>
        <w:t xml:space="preserve">: </w:t>
      </w:r>
      <w:r w:rsidR="00EF31C5" w:rsidRPr="00494EE0">
        <w:rPr>
          <w:rFonts w:ascii="Times New Roman" w:eastAsia="Arial" w:hAnsi="Times New Roman" w:cs="Times New Roman"/>
          <w:color w:val="333333"/>
          <w:sz w:val="22"/>
          <w:szCs w:val="22"/>
          <w:highlight w:val="white"/>
        </w:rPr>
        <w:t>We developed multiple computational tools and analysis pipelines to study genomic sequence variation and the associated downstream effects of variants. VAT (Variant annotation tool) annotates protein sequence changes resulting from genetic mutations, categorizing mutations as synonymous, missense, nonsense, or splice-site disrupting (</w:t>
      </w:r>
      <w:proofErr w:type="spellStart"/>
      <w:r w:rsidR="00EF31C5" w:rsidRPr="00494EE0">
        <w:rPr>
          <w:rFonts w:ascii="Times New Roman" w:eastAsia="Arial" w:hAnsi="Times New Roman" w:cs="Times New Roman"/>
          <w:color w:val="333333"/>
          <w:sz w:val="22"/>
          <w:szCs w:val="22"/>
        </w:rPr>
        <w:t>Habegger</w:t>
      </w:r>
      <w:proofErr w:type="spellEnd"/>
      <w:r w:rsidR="00EF31C5" w:rsidRPr="00494EE0">
        <w:rPr>
          <w:rFonts w:ascii="Times New Roman" w:eastAsia="Arial" w:hAnsi="Times New Roman" w:cs="Times New Roman"/>
          <w:color w:val="333333"/>
          <w:sz w:val="22"/>
          <w:szCs w:val="22"/>
        </w:rPr>
        <w:t xml:space="preserve"> et al, 2012</w:t>
      </w:r>
      <w:r w:rsidR="00EF31C5" w:rsidRPr="00494EE0">
        <w:rPr>
          <w:rFonts w:ascii="Times New Roman" w:eastAsia="Arial" w:hAnsi="Times New Roman" w:cs="Times New Roman"/>
          <w:color w:val="333333"/>
          <w:sz w:val="22"/>
          <w:szCs w:val="22"/>
          <w:highlight w:val="white"/>
        </w:rPr>
        <w:t xml:space="preserve">). We also developed </w:t>
      </w:r>
      <w:proofErr w:type="spellStart"/>
      <w:r w:rsidR="00EF31C5" w:rsidRPr="00494EE0">
        <w:rPr>
          <w:rFonts w:ascii="Times New Roman" w:eastAsia="Arial" w:hAnsi="Times New Roman" w:cs="Times New Roman"/>
          <w:color w:val="333333"/>
          <w:sz w:val="22"/>
          <w:szCs w:val="22"/>
          <w:highlight w:val="white"/>
        </w:rPr>
        <w:t>ALoFT</w:t>
      </w:r>
      <w:proofErr w:type="spellEnd"/>
      <w:r w:rsidR="00EF31C5" w:rsidRPr="00494EE0">
        <w:rPr>
          <w:rFonts w:ascii="Times New Roman" w:eastAsia="Arial" w:hAnsi="Times New Roman" w:cs="Times New Roman"/>
          <w:color w:val="333333"/>
          <w:sz w:val="22"/>
          <w:szCs w:val="22"/>
          <w:highlight w:val="white"/>
        </w:rPr>
        <w:t xml:space="preserve"> (Annotation of Loss-of-Function Transcripts) predicts the disease-causing potential of loss-of-function (</w:t>
      </w:r>
      <w:proofErr w:type="spellStart"/>
      <w:r w:rsidR="00EF31C5" w:rsidRPr="00494EE0">
        <w:rPr>
          <w:rFonts w:ascii="Times New Roman" w:eastAsia="Arial" w:hAnsi="Times New Roman" w:cs="Times New Roman"/>
          <w:color w:val="333333"/>
          <w:sz w:val="22"/>
          <w:szCs w:val="22"/>
          <w:highlight w:val="white"/>
        </w:rPr>
        <w:t>LoF</w:t>
      </w:r>
      <w:proofErr w:type="spellEnd"/>
      <w:r w:rsidR="00EF31C5" w:rsidRPr="00494EE0">
        <w:rPr>
          <w:rFonts w:ascii="Times New Roman" w:eastAsia="Arial" w:hAnsi="Times New Roman" w:cs="Times New Roman"/>
          <w:color w:val="333333"/>
          <w:sz w:val="22"/>
          <w:szCs w:val="22"/>
          <w:highlight w:val="white"/>
        </w:rPr>
        <w:t>) events, distinguishing between deleterious heterozygous and homozygous mutations, and it has been used to analyze somatic variants in cancer exomes (</w:t>
      </w:r>
      <w:r w:rsidR="00EF31C5" w:rsidRPr="00494EE0">
        <w:rPr>
          <w:rFonts w:ascii="Times New Roman" w:eastAsia="Arial" w:hAnsi="Times New Roman" w:cs="Times New Roman"/>
          <w:color w:val="333333"/>
          <w:sz w:val="22"/>
          <w:szCs w:val="22"/>
        </w:rPr>
        <w:t>Balasubramanian et al, 2017</w:t>
      </w:r>
      <w:r w:rsidR="00EF31C5" w:rsidRPr="00494EE0">
        <w:rPr>
          <w:rFonts w:ascii="Times New Roman" w:eastAsia="Arial" w:hAnsi="Times New Roman" w:cs="Times New Roman"/>
          <w:color w:val="333333"/>
          <w:sz w:val="22"/>
          <w:szCs w:val="22"/>
          <w:highlight w:val="white"/>
        </w:rPr>
        <w:t>). We applied the concept of localized protein frustration to evaluate the structural impact of variants by calculating changes in localized physical metrics to assess how genetic variants affect protein structure and stability (</w:t>
      </w:r>
      <w:r w:rsidR="00EF31C5" w:rsidRPr="00494EE0">
        <w:rPr>
          <w:rFonts w:ascii="Times New Roman" w:eastAsia="Arial" w:hAnsi="Times New Roman" w:cs="Times New Roman"/>
          <w:b/>
          <w:color w:val="333333"/>
          <w:sz w:val="22"/>
          <w:szCs w:val="22"/>
          <w:highlight w:val="white"/>
        </w:rPr>
        <w:t>Fig. 3</w:t>
      </w:r>
      <w:r w:rsidR="00EF31C5" w:rsidRPr="00494EE0">
        <w:rPr>
          <w:rFonts w:ascii="Times New Roman" w:eastAsia="Arial" w:hAnsi="Times New Roman" w:cs="Times New Roman"/>
          <w:color w:val="333333"/>
          <w:sz w:val="22"/>
          <w:szCs w:val="22"/>
          <w:highlight w:val="white"/>
        </w:rPr>
        <w:t>) (</w:t>
      </w:r>
      <w:r w:rsidR="00EF31C5" w:rsidRPr="00494EE0">
        <w:rPr>
          <w:rFonts w:ascii="Times New Roman" w:eastAsia="Arial" w:hAnsi="Times New Roman" w:cs="Times New Roman"/>
          <w:color w:val="333333"/>
          <w:sz w:val="22"/>
          <w:szCs w:val="22"/>
        </w:rPr>
        <w:t>Kumar et al, 2016</w:t>
      </w:r>
      <w:r w:rsidR="00EF31C5" w:rsidRPr="00494EE0">
        <w:rPr>
          <w:rFonts w:ascii="Times New Roman" w:eastAsia="Arial" w:hAnsi="Times New Roman" w:cs="Times New Roman"/>
          <w:color w:val="333333"/>
          <w:sz w:val="22"/>
          <w:szCs w:val="22"/>
          <w:highlight w:val="white"/>
        </w:rPr>
        <w:t>). This has been used to differentiate gain- and loss-of-function variants in oncogenes and tumor suppressors.</w:t>
      </w:r>
    </w:p>
    <w:p w14:paraId="5C735B3D" w14:textId="1BFFAF5F" w:rsidR="003F61A2" w:rsidRPr="003F61A2" w:rsidRDefault="00EF31C5" w:rsidP="003F61A2">
      <w:pPr>
        <w:widowControl w:val="0"/>
        <w:ind w:firstLine="720"/>
        <w:jc w:val="both"/>
        <w:rPr>
          <w:rFonts w:ascii="Times New Roman" w:eastAsia="Arial" w:hAnsi="Times New Roman" w:cs="Times New Roman"/>
          <w:color w:val="333333"/>
          <w:sz w:val="22"/>
          <w:szCs w:val="22"/>
          <w:highlight w:val="white"/>
        </w:rPr>
      </w:pPr>
      <w:r w:rsidRPr="00494EE0">
        <w:rPr>
          <w:rFonts w:ascii="Times New Roman" w:eastAsia="Arial" w:hAnsi="Times New Roman" w:cs="Times New Roman"/>
          <w:color w:val="333333"/>
          <w:sz w:val="22"/>
          <w:szCs w:val="22"/>
          <w:highlight w:val="white"/>
        </w:rPr>
        <w:t xml:space="preserve">We also have extensive experience with conducting analyses related to allele-specific expression (ASE). </w:t>
      </w:r>
      <w:proofErr w:type="gramStart"/>
      <w:r w:rsidRPr="00494EE0">
        <w:rPr>
          <w:rFonts w:ascii="Times New Roman" w:eastAsia="Arial" w:hAnsi="Times New Roman" w:cs="Times New Roman"/>
          <w:color w:val="333333"/>
          <w:sz w:val="22"/>
          <w:szCs w:val="22"/>
          <w:highlight w:val="white"/>
        </w:rPr>
        <w:t>In particular, we</w:t>
      </w:r>
      <w:proofErr w:type="gramEnd"/>
      <w:r w:rsidRPr="00494EE0">
        <w:rPr>
          <w:rFonts w:ascii="Times New Roman" w:eastAsia="Arial" w:hAnsi="Times New Roman" w:cs="Times New Roman"/>
          <w:color w:val="333333"/>
          <w:sz w:val="22"/>
          <w:szCs w:val="22"/>
          <w:highlight w:val="white"/>
        </w:rPr>
        <w:t xml:space="preserve"> developed </w:t>
      </w:r>
      <w:proofErr w:type="spellStart"/>
      <w:r w:rsidRPr="00494EE0">
        <w:rPr>
          <w:rFonts w:ascii="Times New Roman" w:eastAsia="Arial" w:hAnsi="Times New Roman" w:cs="Times New Roman"/>
          <w:color w:val="333333"/>
          <w:sz w:val="22"/>
          <w:szCs w:val="22"/>
          <w:highlight w:val="white"/>
        </w:rPr>
        <w:t>AlleleSeq</w:t>
      </w:r>
      <w:proofErr w:type="spellEnd"/>
      <w:r w:rsidRPr="00494EE0">
        <w:rPr>
          <w:rFonts w:ascii="Times New Roman" w:eastAsia="Arial" w:hAnsi="Times New Roman" w:cs="Times New Roman"/>
          <w:color w:val="333333"/>
          <w:sz w:val="22"/>
          <w:szCs w:val="22"/>
          <w:highlight w:val="white"/>
        </w:rPr>
        <w:t>, a computational pipeline that was originally used for identifying and quantifying ASE in GM12878 (</w:t>
      </w:r>
      <w:proofErr w:type="spellStart"/>
      <w:r w:rsidRPr="00494EE0">
        <w:rPr>
          <w:rFonts w:ascii="Times New Roman" w:eastAsia="Arial" w:hAnsi="Times New Roman" w:cs="Times New Roman"/>
          <w:color w:val="333333"/>
          <w:sz w:val="22"/>
          <w:szCs w:val="22"/>
        </w:rPr>
        <w:t>Rozowsky</w:t>
      </w:r>
      <w:proofErr w:type="spellEnd"/>
      <w:r w:rsidRPr="00494EE0">
        <w:rPr>
          <w:rFonts w:ascii="Times New Roman" w:eastAsia="Arial" w:hAnsi="Times New Roman" w:cs="Times New Roman"/>
          <w:color w:val="333333"/>
          <w:sz w:val="22"/>
          <w:szCs w:val="22"/>
        </w:rPr>
        <w:t xml:space="preserve"> et al, 2011</w:t>
      </w:r>
      <w:r w:rsidRPr="00494EE0">
        <w:rPr>
          <w:rFonts w:ascii="Times New Roman" w:eastAsia="Arial" w:hAnsi="Times New Roman" w:cs="Times New Roman"/>
          <w:color w:val="333333"/>
          <w:sz w:val="22"/>
          <w:szCs w:val="22"/>
          <w:highlight w:val="white"/>
        </w:rPr>
        <w:t xml:space="preserve">). We have applied </w:t>
      </w:r>
      <w:proofErr w:type="spellStart"/>
      <w:r w:rsidRPr="00494EE0">
        <w:rPr>
          <w:rFonts w:ascii="Times New Roman" w:eastAsia="Arial" w:hAnsi="Times New Roman" w:cs="Times New Roman"/>
          <w:color w:val="333333"/>
          <w:sz w:val="22"/>
          <w:szCs w:val="22"/>
          <w:highlight w:val="white"/>
        </w:rPr>
        <w:t>AlleleSeq</w:t>
      </w:r>
      <w:proofErr w:type="spellEnd"/>
      <w:r w:rsidRPr="00494EE0">
        <w:rPr>
          <w:rFonts w:ascii="Times New Roman" w:eastAsia="Arial" w:hAnsi="Times New Roman" w:cs="Times New Roman"/>
          <w:color w:val="333333"/>
          <w:sz w:val="22"/>
          <w:szCs w:val="22"/>
          <w:highlight w:val="white"/>
        </w:rPr>
        <w:t xml:space="preserve"> to a broad spectrum of personal and functional genomics data. We annotated variants associated with ASE in a large pool of individuals from the 1000 Genomes Project. The results were made available as an online resource, </w:t>
      </w:r>
      <w:proofErr w:type="spellStart"/>
      <w:r w:rsidRPr="00494EE0">
        <w:rPr>
          <w:rFonts w:ascii="Times New Roman" w:eastAsia="Arial" w:hAnsi="Times New Roman" w:cs="Times New Roman"/>
          <w:color w:val="333333"/>
          <w:sz w:val="22"/>
          <w:szCs w:val="22"/>
          <w:highlight w:val="white"/>
        </w:rPr>
        <w:t>AlleleDB</w:t>
      </w:r>
      <w:proofErr w:type="spellEnd"/>
      <w:r w:rsidRPr="00494EE0">
        <w:rPr>
          <w:rFonts w:ascii="Times New Roman" w:eastAsia="Arial" w:hAnsi="Times New Roman" w:cs="Times New Roman"/>
          <w:color w:val="333333"/>
          <w:sz w:val="22"/>
          <w:szCs w:val="22"/>
          <w:highlight w:val="white"/>
        </w:rPr>
        <w:t xml:space="preserve"> (</w:t>
      </w:r>
      <w:hyperlink r:id="rId7" w:history="1">
        <w:r w:rsidRPr="00494EE0">
          <w:rPr>
            <w:rStyle w:val="Hyperlink"/>
            <w:rFonts w:ascii="Times New Roman" w:eastAsia="Arial" w:hAnsi="Times New Roman" w:cs="Times New Roman"/>
            <w:sz w:val="22"/>
            <w:szCs w:val="22"/>
            <w:highlight w:val="white"/>
          </w:rPr>
          <w:t>http://alleledb.gersteinlab.org</w:t>
        </w:r>
      </w:hyperlink>
      <w:r w:rsidRPr="00494EE0">
        <w:rPr>
          <w:rFonts w:ascii="Times New Roman" w:eastAsia="Arial" w:hAnsi="Times New Roman" w:cs="Times New Roman"/>
          <w:color w:val="333333"/>
          <w:sz w:val="22"/>
          <w:szCs w:val="22"/>
          <w:highlight w:val="white"/>
        </w:rPr>
        <w:t>) (</w:t>
      </w:r>
      <w:r w:rsidRPr="00494EE0">
        <w:rPr>
          <w:rFonts w:ascii="Times New Roman" w:eastAsia="Arial" w:hAnsi="Times New Roman" w:cs="Times New Roman"/>
          <w:color w:val="333333"/>
          <w:sz w:val="22"/>
          <w:szCs w:val="22"/>
        </w:rPr>
        <w:t>Chen et al, 2016</w:t>
      </w:r>
      <w:r w:rsidRPr="00494EE0">
        <w:rPr>
          <w:rFonts w:ascii="Times New Roman" w:eastAsia="Arial" w:hAnsi="Times New Roman" w:cs="Times New Roman"/>
          <w:color w:val="333333"/>
          <w:sz w:val="22"/>
          <w:szCs w:val="22"/>
          <w:highlight w:val="white"/>
        </w:rPr>
        <w:t>)</w:t>
      </w:r>
      <w:r w:rsidR="003F61A2">
        <w:rPr>
          <w:rFonts w:ascii="Times New Roman" w:eastAsia="Arial" w:hAnsi="Times New Roman" w:cs="Times New Roman"/>
          <w:color w:val="333333"/>
          <w:sz w:val="22"/>
          <w:szCs w:val="22"/>
          <w:highlight w:val="white"/>
        </w:rPr>
        <w:t>.</w:t>
      </w:r>
    </w:p>
    <w:p w14:paraId="58C0C5F1" w14:textId="77777777" w:rsidR="00E25419" w:rsidRPr="00E25419" w:rsidRDefault="00E25419" w:rsidP="00E25419">
      <w:pPr>
        <w:widowControl w:val="0"/>
        <w:jc w:val="both"/>
        <w:rPr>
          <w:rFonts w:ascii="Times New Roman" w:eastAsia="Arial" w:hAnsi="Times New Roman" w:cs="Times New Roman"/>
          <w:b/>
          <w:bCs/>
          <w:color w:val="333333"/>
          <w:u w:val="single"/>
        </w:rPr>
      </w:pPr>
      <w:r w:rsidRPr="00E25419">
        <w:rPr>
          <w:rFonts w:ascii="Times New Roman" w:eastAsia="Arial" w:hAnsi="Times New Roman" w:cs="Times New Roman"/>
          <w:b/>
          <w:bCs/>
          <w:color w:val="333333"/>
          <w:u w:val="single"/>
        </w:rPr>
        <w:lastRenderedPageBreak/>
        <w:t>References</w:t>
      </w:r>
    </w:p>
    <w:p w14:paraId="7676902E" w14:textId="0D40055B" w:rsidR="00E25419" w:rsidRPr="00E25419" w:rsidRDefault="00B822BD" w:rsidP="00E25419">
      <w:pPr>
        <w:widowControl w:val="0"/>
        <w:jc w:val="both"/>
        <w:rPr>
          <w:rFonts w:ascii="Times New Roman" w:eastAsia="Arial" w:hAnsi="Times New Roman" w:cs="Times New Roman"/>
          <w:color w:val="333333"/>
          <w:sz w:val="18"/>
          <w:szCs w:val="18"/>
        </w:rPr>
      </w:pPr>
      <w:r w:rsidRPr="00B822BD">
        <w:rPr>
          <w:rFonts w:ascii="Times New Roman" w:eastAsia="Arial" w:hAnsi="Times New Roman" w:cs="Times New Roman"/>
          <w:color w:val="333333"/>
          <w:sz w:val="18"/>
          <w:szCs w:val="18"/>
        </w:rPr>
        <w:t xml:space="preserve">Augspach, </w:t>
      </w:r>
      <w:proofErr w:type="spellStart"/>
      <w:r w:rsidRPr="00B822BD">
        <w:rPr>
          <w:rFonts w:ascii="Times New Roman" w:eastAsia="Arial" w:hAnsi="Times New Roman" w:cs="Times New Roman"/>
          <w:color w:val="333333"/>
          <w:sz w:val="18"/>
          <w:szCs w:val="18"/>
        </w:rPr>
        <w:t>Anke</w:t>
      </w:r>
      <w:proofErr w:type="spellEnd"/>
      <w:r w:rsidRPr="00B822BD">
        <w:rPr>
          <w:rFonts w:ascii="Times New Roman" w:eastAsia="Arial" w:hAnsi="Times New Roman" w:cs="Times New Roman"/>
          <w:color w:val="333333"/>
          <w:sz w:val="18"/>
          <w:szCs w:val="18"/>
        </w:rPr>
        <w:t>, et al. "Minor intron splicing is critical for survival of lethal prostate cancer." Molecular cell 83.12 (2023): 1983-2002.</w:t>
      </w:r>
    </w:p>
    <w:p w14:paraId="3D86288D" w14:textId="77777777" w:rsidR="00E25419" w:rsidRPr="00E25419" w:rsidRDefault="00E25419" w:rsidP="00E25419">
      <w:pPr>
        <w:widowControl w:val="0"/>
        <w:jc w:val="both"/>
        <w:rPr>
          <w:rFonts w:ascii="Times New Roman" w:eastAsia="Arial" w:hAnsi="Times New Roman" w:cs="Times New Roman"/>
          <w:color w:val="333333"/>
          <w:sz w:val="18"/>
          <w:szCs w:val="18"/>
        </w:rPr>
      </w:pPr>
    </w:p>
    <w:p w14:paraId="5ECE7C2B" w14:textId="77777777" w:rsidR="00E25419" w:rsidRPr="00E25419" w:rsidRDefault="00E25419" w:rsidP="00E25419">
      <w:pPr>
        <w:widowControl w:val="0"/>
        <w:jc w:val="both"/>
        <w:rPr>
          <w:rFonts w:ascii="Times New Roman" w:eastAsia="Arial" w:hAnsi="Times New Roman" w:cs="Times New Roman"/>
          <w:color w:val="333333"/>
          <w:sz w:val="18"/>
          <w:szCs w:val="18"/>
        </w:rPr>
      </w:pPr>
      <w:r w:rsidRPr="00E25419">
        <w:rPr>
          <w:rFonts w:ascii="Times New Roman" w:eastAsia="Arial" w:hAnsi="Times New Roman" w:cs="Times New Roman"/>
          <w:color w:val="333333"/>
          <w:sz w:val="18"/>
          <w:szCs w:val="18"/>
        </w:rPr>
        <w:t xml:space="preserve">Balasubramanian, S. et al. Using </w:t>
      </w:r>
      <w:proofErr w:type="spellStart"/>
      <w:r w:rsidRPr="00E25419">
        <w:rPr>
          <w:rFonts w:ascii="Times New Roman" w:eastAsia="Arial" w:hAnsi="Times New Roman" w:cs="Times New Roman"/>
          <w:color w:val="333333"/>
          <w:sz w:val="18"/>
          <w:szCs w:val="18"/>
        </w:rPr>
        <w:t>ALoFT</w:t>
      </w:r>
      <w:proofErr w:type="spellEnd"/>
      <w:r w:rsidRPr="00E25419">
        <w:rPr>
          <w:rFonts w:ascii="Times New Roman" w:eastAsia="Arial" w:hAnsi="Times New Roman" w:cs="Times New Roman"/>
          <w:color w:val="333333"/>
          <w:sz w:val="18"/>
          <w:szCs w:val="18"/>
        </w:rPr>
        <w:t xml:space="preserve"> to determine the impact of putative loss-of-function variants in protein-coding genes. Nature communications 8, 382, doi:10.1038/s41467-017-00443-5 (2017).</w:t>
      </w:r>
    </w:p>
    <w:p w14:paraId="327E5A62" w14:textId="77777777" w:rsidR="00E25419" w:rsidRPr="00E25419" w:rsidRDefault="00E25419" w:rsidP="00E25419">
      <w:pPr>
        <w:widowControl w:val="0"/>
        <w:jc w:val="both"/>
        <w:rPr>
          <w:rFonts w:ascii="Times New Roman" w:eastAsia="Arial" w:hAnsi="Times New Roman" w:cs="Times New Roman"/>
          <w:color w:val="333333"/>
          <w:sz w:val="18"/>
          <w:szCs w:val="18"/>
        </w:rPr>
      </w:pPr>
    </w:p>
    <w:p w14:paraId="345E367F" w14:textId="77777777" w:rsidR="00E25419" w:rsidRPr="00E25419" w:rsidRDefault="00E25419" w:rsidP="00E25419">
      <w:pPr>
        <w:widowControl w:val="0"/>
        <w:jc w:val="both"/>
        <w:rPr>
          <w:rFonts w:ascii="Times New Roman" w:eastAsia="Arial" w:hAnsi="Times New Roman" w:cs="Times New Roman"/>
          <w:color w:val="333333"/>
          <w:sz w:val="18"/>
          <w:szCs w:val="18"/>
        </w:rPr>
      </w:pPr>
      <w:r w:rsidRPr="00E25419">
        <w:rPr>
          <w:rFonts w:ascii="Times New Roman" w:eastAsia="Arial" w:hAnsi="Times New Roman" w:cs="Times New Roman"/>
          <w:color w:val="333333"/>
          <w:sz w:val="18"/>
          <w:szCs w:val="18"/>
        </w:rPr>
        <w:t xml:space="preserve">Cancer Genome Atlas Research N. The Molecular Taxonomy of Primary Prostate Cancer. Cell. 2015;163(4):1011-25. </w:t>
      </w:r>
      <w:proofErr w:type="spellStart"/>
      <w:r w:rsidRPr="00E25419">
        <w:rPr>
          <w:rFonts w:ascii="Times New Roman" w:eastAsia="Arial" w:hAnsi="Times New Roman" w:cs="Times New Roman"/>
          <w:color w:val="333333"/>
          <w:sz w:val="18"/>
          <w:szCs w:val="18"/>
        </w:rPr>
        <w:t>Epub</w:t>
      </w:r>
      <w:proofErr w:type="spellEnd"/>
      <w:r w:rsidRPr="00E25419">
        <w:rPr>
          <w:rFonts w:ascii="Times New Roman" w:eastAsia="Arial" w:hAnsi="Times New Roman" w:cs="Times New Roman"/>
          <w:color w:val="333333"/>
          <w:sz w:val="18"/>
          <w:szCs w:val="18"/>
        </w:rPr>
        <w:t xml:space="preserve"> 2015/11/07. </w:t>
      </w:r>
      <w:proofErr w:type="spellStart"/>
      <w:r w:rsidRPr="00E25419">
        <w:rPr>
          <w:rFonts w:ascii="Times New Roman" w:eastAsia="Arial" w:hAnsi="Times New Roman" w:cs="Times New Roman"/>
          <w:color w:val="333333"/>
          <w:sz w:val="18"/>
          <w:szCs w:val="18"/>
        </w:rPr>
        <w:t>doi</w:t>
      </w:r>
      <w:proofErr w:type="spellEnd"/>
      <w:r w:rsidRPr="00E25419">
        <w:rPr>
          <w:rFonts w:ascii="Times New Roman" w:eastAsia="Arial" w:hAnsi="Times New Roman" w:cs="Times New Roman"/>
          <w:color w:val="333333"/>
          <w:sz w:val="18"/>
          <w:szCs w:val="18"/>
        </w:rPr>
        <w:t>: 10.1016/j.cell.2015.10.025. PubMed PMID: 26544944; PMCID: PMC4695400.</w:t>
      </w:r>
    </w:p>
    <w:p w14:paraId="1D5D7843" w14:textId="77777777" w:rsidR="00E25419" w:rsidRPr="00E25419" w:rsidRDefault="00E25419" w:rsidP="00E25419">
      <w:pPr>
        <w:widowControl w:val="0"/>
        <w:jc w:val="both"/>
        <w:rPr>
          <w:rFonts w:ascii="Times New Roman" w:eastAsia="Arial" w:hAnsi="Times New Roman" w:cs="Times New Roman"/>
          <w:color w:val="333333"/>
          <w:sz w:val="18"/>
          <w:szCs w:val="18"/>
        </w:rPr>
      </w:pPr>
    </w:p>
    <w:p w14:paraId="25DB58D1" w14:textId="77777777" w:rsidR="00E25419" w:rsidRPr="00E25419" w:rsidRDefault="00E25419" w:rsidP="00E25419">
      <w:pPr>
        <w:widowControl w:val="0"/>
        <w:jc w:val="both"/>
        <w:rPr>
          <w:rFonts w:ascii="Times New Roman" w:eastAsia="Arial" w:hAnsi="Times New Roman" w:cs="Times New Roman"/>
          <w:color w:val="333333"/>
          <w:sz w:val="18"/>
          <w:szCs w:val="18"/>
        </w:rPr>
      </w:pPr>
      <w:r w:rsidRPr="00E25419">
        <w:rPr>
          <w:rFonts w:ascii="Times New Roman" w:eastAsia="Arial" w:hAnsi="Times New Roman" w:cs="Times New Roman"/>
          <w:color w:val="333333"/>
          <w:sz w:val="18"/>
          <w:szCs w:val="18"/>
        </w:rPr>
        <w:t>Cancer Genome Atlas Research Network. "Comprehensive molecular characterization of papillary renal-cell carcinoma." New England Journal of Medicine 374, no. 2 (2016): 135-145.</w:t>
      </w:r>
    </w:p>
    <w:p w14:paraId="6AEAFF6C" w14:textId="77777777" w:rsidR="00E25419" w:rsidRPr="00E25419" w:rsidRDefault="00E25419" w:rsidP="00E25419">
      <w:pPr>
        <w:widowControl w:val="0"/>
        <w:jc w:val="both"/>
        <w:rPr>
          <w:rFonts w:ascii="Times New Roman" w:eastAsia="Arial" w:hAnsi="Times New Roman" w:cs="Times New Roman"/>
          <w:color w:val="333333"/>
          <w:sz w:val="18"/>
          <w:szCs w:val="18"/>
        </w:rPr>
      </w:pPr>
    </w:p>
    <w:p w14:paraId="5455C699" w14:textId="77777777" w:rsidR="00E25419" w:rsidRPr="00E25419" w:rsidRDefault="00E25419" w:rsidP="00E25419">
      <w:pPr>
        <w:widowControl w:val="0"/>
        <w:jc w:val="both"/>
        <w:rPr>
          <w:rFonts w:ascii="Times New Roman" w:eastAsia="Arial" w:hAnsi="Times New Roman" w:cs="Times New Roman"/>
          <w:color w:val="333333"/>
          <w:sz w:val="18"/>
          <w:szCs w:val="18"/>
        </w:rPr>
      </w:pPr>
      <w:r w:rsidRPr="00E25419">
        <w:rPr>
          <w:rFonts w:ascii="Times New Roman" w:eastAsia="Arial" w:hAnsi="Times New Roman" w:cs="Times New Roman"/>
          <w:color w:val="333333"/>
          <w:sz w:val="18"/>
          <w:szCs w:val="18"/>
        </w:rPr>
        <w:t>Chen, J. et al. A uniform survey of allele-specific binding and expression over 1000-Genomes-Project individuals. Nature communications 7, 11101, doi:10.1038/ncomms11101 (2016).</w:t>
      </w:r>
    </w:p>
    <w:p w14:paraId="79B0B8DD" w14:textId="77777777" w:rsidR="00E25419" w:rsidRPr="00E25419" w:rsidRDefault="00E25419" w:rsidP="00E25419">
      <w:pPr>
        <w:widowControl w:val="0"/>
        <w:jc w:val="both"/>
        <w:rPr>
          <w:rFonts w:ascii="Times New Roman" w:eastAsia="Arial" w:hAnsi="Times New Roman" w:cs="Times New Roman"/>
          <w:color w:val="333333"/>
          <w:sz w:val="18"/>
          <w:szCs w:val="18"/>
        </w:rPr>
      </w:pPr>
    </w:p>
    <w:p w14:paraId="0BB0FBF6" w14:textId="77777777" w:rsidR="00E25419" w:rsidRPr="00E25419" w:rsidRDefault="00E25419" w:rsidP="00E25419">
      <w:pPr>
        <w:widowControl w:val="0"/>
        <w:jc w:val="both"/>
        <w:rPr>
          <w:rFonts w:ascii="Times New Roman" w:eastAsia="Arial" w:hAnsi="Times New Roman" w:cs="Times New Roman"/>
          <w:color w:val="333333"/>
          <w:sz w:val="18"/>
          <w:szCs w:val="18"/>
        </w:rPr>
      </w:pPr>
      <w:r w:rsidRPr="00E25419">
        <w:rPr>
          <w:rFonts w:ascii="Times New Roman" w:eastAsia="Arial" w:hAnsi="Times New Roman" w:cs="Times New Roman"/>
          <w:color w:val="333333"/>
          <w:sz w:val="18"/>
          <w:szCs w:val="18"/>
        </w:rPr>
        <w:t xml:space="preserve">Clarke, D. et al. Identifying Allosteric Hotspots with Dynamics: Application to Inter- and Intra-species Conservation. Structure (London, </w:t>
      </w:r>
      <w:proofErr w:type="gramStart"/>
      <w:r w:rsidRPr="00E25419">
        <w:rPr>
          <w:rFonts w:ascii="Times New Roman" w:eastAsia="Arial" w:hAnsi="Times New Roman" w:cs="Times New Roman"/>
          <w:color w:val="333333"/>
          <w:sz w:val="18"/>
          <w:szCs w:val="18"/>
        </w:rPr>
        <w:t>England :</w:t>
      </w:r>
      <w:proofErr w:type="gramEnd"/>
      <w:r w:rsidRPr="00E25419">
        <w:rPr>
          <w:rFonts w:ascii="Times New Roman" w:eastAsia="Arial" w:hAnsi="Times New Roman" w:cs="Times New Roman"/>
          <w:color w:val="333333"/>
          <w:sz w:val="18"/>
          <w:szCs w:val="18"/>
        </w:rPr>
        <w:t xml:space="preserve"> 1993) 24, 826-837, doi:10.1016/j.str.2016.03.008 (2016).</w:t>
      </w:r>
    </w:p>
    <w:p w14:paraId="1FBEC1A5" w14:textId="77777777" w:rsidR="00E25419" w:rsidRPr="00E25419" w:rsidRDefault="00E25419" w:rsidP="00E25419">
      <w:pPr>
        <w:widowControl w:val="0"/>
        <w:jc w:val="both"/>
        <w:rPr>
          <w:rFonts w:ascii="Times New Roman" w:eastAsia="Arial" w:hAnsi="Times New Roman" w:cs="Times New Roman"/>
          <w:color w:val="333333"/>
          <w:sz w:val="18"/>
          <w:szCs w:val="18"/>
        </w:rPr>
      </w:pPr>
    </w:p>
    <w:p w14:paraId="74179009" w14:textId="77777777" w:rsidR="00E25419" w:rsidRPr="00E25419" w:rsidRDefault="00E25419" w:rsidP="00E25419">
      <w:pPr>
        <w:widowControl w:val="0"/>
        <w:jc w:val="both"/>
        <w:rPr>
          <w:rFonts w:ascii="Times New Roman" w:eastAsia="Arial" w:hAnsi="Times New Roman" w:cs="Times New Roman"/>
          <w:color w:val="333333"/>
          <w:sz w:val="18"/>
          <w:szCs w:val="18"/>
        </w:rPr>
      </w:pPr>
      <w:r w:rsidRPr="00E25419">
        <w:rPr>
          <w:rFonts w:ascii="Times New Roman" w:eastAsia="Arial" w:hAnsi="Times New Roman" w:cs="Times New Roman"/>
          <w:color w:val="333333"/>
          <w:sz w:val="18"/>
          <w:szCs w:val="18"/>
        </w:rPr>
        <w:t xml:space="preserve">Erwin, Graham S., Gamze </w:t>
      </w:r>
      <w:proofErr w:type="spellStart"/>
      <w:r w:rsidRPr="00E25419">
        <w:rPr>
          <w:rFonts w:ascii="Times New Roman" w:eastAsia="Arial" w:hAnsi="Times New Roman" w:cs="Times New Roman"/>
          <w:color w:val="333333"/>
          <w:sz w:val="18"/>
          <w:szCs w:val="18"/>
        </w:rPr>
        <w:t>Gürsoy</w:t>
      </w:r>
      <w:proofErr w:type="spellEnd"/>
      <w:r w:rsidRPr="00E25419">
        <w:rPr>
          <w:rFonts w:ascii="Times New Roman" w:eastAsia="Arial" w:hAnsi="Times New Roman" w:cs="Times New Roman"/>
          <w:color w:val="333333"/>
          <w:sz w:val="18"/>
          <w:szCs w:val="18"/>
        </w:rPr>
        <w:t xml:space="preserve">, Rashid Al-Abri, Ashwini </w:t>
      </w:r>
      <w:proofErr w:type="spellStart"/>
      <w:r w:rsidRPr="00E25419">
        <w:rPr>
          <w:rFonts w:ascii="Times New Roman" w:eastAsia="Arial" w:hAnsi="Times New Roman" w:cs="Times New Roman"/>
          <w:color w:val="333333"/>
          <w:sz w:val="18"/>
          <w:szCs w:val="18"/>
        </w:rPr>
        <w:t>Suriyaprakash</w:t>
      </w:r>
      <w:proofErr w:type="spellEnd"/>
      <w:r w:rsidRPr="00E25419">
        <w:rPr>
          <w:rFonts w:ascii="Times New Roman" w:eastAsia="Arial" w:hAnsi="Times New Roman" w:cs="Times New Roman"/>
          <w:color w:val="333333"/>
          <w:sz w:val="18"/>
          <w:szCs w:val="18"/>
        </w:rPr>
        <w:t xml:space="preserve">, </w:t>
      </w:r>
      <w:proofErr w:type="spellStart"/>
      <w:r w:rsidRPr="00E25419">
        <w:rPr>
          <w:rFonts w:ascii="Times New Roman" w:eastAsia="Arial" w:hAnsi="Times New Roman" w:cs="Times New Roman"/>
          <w:color w:val="333333"/>
          <w:sz w:val="18"/>
          <w:szCs w:val="18"/>
        </w:rPr>
        <w:t>Egor</w:t>
      </w:r>
      <w:proofErr w:type="spellEnd"/>
      <w:r w:rsidRPr="00E25419">
        <w:rPr>
          <w:rFonts w:ascii="Times New Roman" w:eastAsia="Arial" w:hAnsi="Times New Roman" w:cs="Times New Roman"/>
          <w:color w:val="333333"/>
          <w:sz w:val="18"/>
          <w:szCs w:val="18"/>
        </w:rPr>
        <w:t xml:space="preserve"> </w:t>
      </w:r>
      <w:proofErr w:type="spellStart"/>
      <w:r w:rsidRPr="00E25419">
        <w:rPr>
          <w:rFonts w:ascii="Times New Roman" w:eastAsia="Arial" w:hAnsi="Times New Roman" w:cs="Times New Roman"/>
          <w:color w:val="333333"/>
          <w:sz w:val="18"/>
          <w:szCs w:val="18"/>
        </w:rPr>
        <w:t>Dolzhenko</w:t>
      </w:r>
      <w:proofErr w:type="spellEnd"/>
      <w:r w:rsidRPr="00E25419">
        <w:rPr>
          <w:rFonts w:ascii="Times New Roman" w:eastAsia="Arial" w:hAnsi="Times New Roman" w:cs="Times New Roman"/>
          <w:color w:val="333333"/>
          <w:sz w:val="18"/>
          <w:szCs w:val="18"/>
        </w:rPr>
        <w:t xml:space="preserve">, Kevin Zhu, Christian R. </w:t>
      </w:r>
      <w:proofErr w:type="spellStart"/>
      <w:r w:rsidRPr="00E25419">
        <w:rPr>
          <w:rFonts w:ascii="Times New Roman" w:eastAsia="Arial" w:hAnsi="Times New Roman" w:cs="Times New Roman"/>
          <w:color w:val="333333"/>
          <w:sz w:val="18"/>
          <w:szCs w:val="18"/>
        </w:rPr>
        <w:t>Hoerner</w:t>
      </w:r>
      <w:proofErr w:type="spellEnd"/>
      <w:r w:rsidRPr="00E25419">
        <w:rPr>
          <w:rFonts w:ascii="Times New Roman" w:eastAsia="Arial" w:hAnsi="Times New Roman" w:cs="Times New Roman"/>
          <w:color w:val="333333"/>
          <w:sz w:val="18"/>
          <w:szCs w:val="18"/>
        </w:rPr>
        <w:t xml:space="preserve"> et al. "Recurrent repeat expansions in human cancer genomes." Nature (2022): 1-7.</w:t>
      </w:r>
    </w:p>
    <w:p w14:paraId="46FD92D8" w14:textId="77777777" w:rsidR="00E25419" w:rsidRPr="00E25419" w:rsidRDefault="00E25419" w:rsidP="00E25419">
      <w:pPr>
        <w:widowControl w:val="0"/>
        <w:jc w:val="both"/>
        <w:rPr>
          <w:rFonts w:ascii="Times New Roman" w:eastAsia="Arial" w:hAnsi="Times New Roman" w:cs="Times New Roman"/>
          <w:color w:val="333333"/>
          <w:sz w:val="18"/>
          <w:szCs w:val="18"/>
        </w:rPr>
      </w:pPr>
    </w:p>
    <w:p w14:paraId="08F73FC4" w14:textId="77777777" w:rsidR="00E25419" w:rsidRPr="00E25419" w:rsidRDefault="00E25419" w:rsidP="00E25419">
      <w:pPr>
        <w:widowControl w:val="0"/>
        <w:jc w:val="both"/>
        <w:rPr>
          <w:rFonts w:ascii="Times New Roman" w:eastAsia="Arial" w:hAnsi="Times New Roman" w:cs="Times New Roman"/>
          <w:color w:val="333333"/>
          <w:sz w:val="18"/>
          <w:szCs w:val="18"/>
        </w:rPr>
      </w:pPr>
      <w:r w:rsidRPr="00E25419">
        <w:rPr>
          <w:rFonts w:ascii="Times New Roman" w:eastAsia="Arial" w:hAnsi="Times New Roman" w:cs="Times New Roman"/>
          <w:color w:val="333333"/>
          <w:sz w:val="18"/>
          <w:szCs w:val="18"/>
        </w:rPr>
        <w:t>Frank, M., Ni, P., Jensen, M. &amp; Gerstein, M. B. Leveraging a large language model to predict protein phase transition: A physical, multiscale, and interpretable approach. Proceedings of the National Academy of Sciences of the United States of America 121, e2320510121, doi:10.1073/pnas.2320510121 (2024).</w:t>
      </w:r>
    </w:p>
    <w:p w14:paraId="1055E6C5" w14:textId="77777777" w:rsidR="00E25419" w:rsidRPr="00E25419" w:rsidRDefault="00E25419" w:rsidP="00E25419">
      <w:pPr>
        <w:widowControl w:val="0"/>
        <w:jc w:val="both"/>
        <w:rPr>
          <w:rFonts w:ascii="Times New Roman" w:eastAsia="Arial" w:hAnsi="Times New Roman" w:cs="Times New Roman"/>
          <w:color w:val="333333"/>
          <w:sz w:val="18"/>
          <w:szCs w:val="18"/>
        </w:rPr>
      </w:pPr>
    </w:p>
    <w:p w14:paraId="4A82DF9E" w14:textId="77777777" w:rsidR="00E25419" w:rsidRPr="00E25419" w:rsidRDefault="00E25419" w:rsidP="00E25419">
      <w:pPr>
        <w:widowControl w:val="0"/>
        <w:jc w:val="both"/>
        <w:rPr>
          <w:rFonts w:ascii="Times New Roman" w:eastAsia="Arial" w:hAnsi="Times New Roman" w:cs="Times New Roman"/>
          <w:color w:val="333333"/>
          <w:sz w:val="18"/>
          <w:szCs w:val="18"/>
        </w:rPr>
      </w:pPr>
      <w:r w:rsidRPr="00E25419">
        <w:rPr>
          <w:rFonts w:ascii="Times New Roman" w:eastAsia="Arial" w:hAnsi="Times New Roman" w:cs="Times New Roman"/>
          <w:color w:val="333333"/>
          <w:sz w:val="18"/>
          <w:szCs w:val="18"/>
        </w:rPr>
        <w:t xml:space="preserve">Khurana, Ekta, Yao Fu, Vincenza Colonna, </w:t>
      </w:r>
      <w:proofErr w:type="spellStart"/>
      <w:r w:rsidRPr="00E25419">
        <w:rPr>
          <w:rFonts w:ascii="Times New Roman" w:eastAsia="Arial" w:hAnsi="Times New Roman" w:cs="Times New Roman"/>
          <w:color w:val="333333"/>
          <w:sz w:val="18"/>
          <w:szCs w:val="18"/>
        </w:rPr>
        <w:t>Xinmeng</w:t>
      </w:r>
      <w:proofErr w:type="spellEnd"/>
      <w:r w:rsidRPr="00E25419">
        <w:rPr>
          <w:rFonts w:ascii="Times New Roman" w:eastAsia="Arial" w:hAnsi="Times New Roman" w:cs="Times New Roman"/>
          <w:color w:val="333333"/>
          <w:sz w:val="18"/>
          <w:szCs w:val="18"/>
        </w:rPr>
        <w:t xml:space="preserve"> Jasmine Mu, Hyun Min Kang, </w:t>
      </w:r>
      <w:proofErr w:type="spellStart"/>
      <w:r w:rsidRPr="00E25419">
        <w:rPr>
          <w:rFonts w:ascii="Times New Roman" w:eastAsia="Arial" w:hAnsi="Times New Roman" w:cs="Times New Roman"/>
          <w:color w:val="333333"/>
          <w:sz w:val="18"/>
          <w:szCs w:val="18"/>
        </w:rPr>
        <w:t>Tuuli</w:t>
      </w:r>
      <w:proofErr w:type="spellEnd"/>
      <w:r w:rsidRPr="00E25419">
        <w:rPr>
          <w:rFonts w:ascii="Times New Roman" w:eastAsia="Arial" w:hAnsi="Times New Roman" w:cs="Times New Roman"/>
          <w:color w:val="333333"/>
          <w:sz w:val="18"/>
          <w:szCs w:val="18"/>
        </w:rPr>
        <w:t xml:space="preserve"> </w:t>
      </w:r>
      <w:proofErr w:type="spellStart"/>
      <w:r w:rsidRPr="00E25419">
        <w:rPr>
          <w:rFonts w:ascii="Times New Roman" w:eastAsia="Arial" w:hAnsi="Times New Roman" w:cs="Times New Roman"/>
          <w:color w:val="333333"/>
          <w:sz w:val="18"/>
          <w:szCs w:val="18"/>
        </w:rPr>
        <w:t>Lappalainen</w:t>
      </w:r>
      <w:proofErr w:type="spellEnd"/>
      <w:r w:rsidRPr="00E25419">
        <w:rPr>
          <w:rFonts w:ascii="Times New Roman" w:eastAsia="Arial" w:hAnsi="Times New Roman" w:cs="Times New Roman"/>
          <w:color w:val="333333"/>
          <w:sz w:val="18"/>
          <w:szCs w:val="18"/>
        </w:rPr>
        <w:t xml:space="preserve">, Andrea </w:t>
      </w:r>
      <w:proofErr w:type="spellStart"/>
      <w:r w:rsidRPr="00E25419">
        <w:rPr>
          <w:rFonts w:ascii="Times New Roman" w:eastAsia="Arial" w:hAnsi="Times New Roman" w:cs="Times New Roman"/>
          <w:color w:val="333333"/>
          <w:sz w:val="18"/>
          <w:szCs w:val="18"/>
        </w:rPr>
        <w:t>Sboner</w:t>
      </w:r>
      <w:proofErr w:type="spellEnd"/>
      <w:r w:rsidRPr="00E25419">
        <w:rPr>
          <w:rFonts w:ascii="Times New Roman" w:eastAsia="Arial" w:hAnsi="Times New Roman" w:cs="Times New Roman"/>
          <w:color w:val="333333"/>
          <w:sz w:val="18"/>
          <w:szCs w:val="18"/>
        </w:rPr>
        <w:t xml:space="preserve"> et al. "Integrative annotation of variants from 1092 humans: application to cancer genomics." Science 342, no. 6154 (2013): 1235587.</w:t>
      </w:r>
    </w:p>
    <w:p w14:paraId="19C99840" w14:textId="77777777" w:rsidR="00E25419" w:rsidRPr="00E25419" w:rsidRDefault="00E25419" w:rsidP="00E25419">
      <w:pPr>
        <w:widowControl w:val="0"/>
        <w:jc w:val="both"/>
        <w:rPr>
          <w:rFonts w:ascii="Times New Roman" w:eastAsia="Arial" w:hAnsi="Times New Roman" w:cs="Times New Roman"/>
          <w:color w:val="333333"/>
          <w:sz w:val="18"/>
          <w:szCs w:val="18"/>
        </w:rPr>
      </w:pPr>
    </w:p>
    <w:p w14:paraId="65E29FA5" w14:textId="77777777" w:rsidR="00E25419" w:rsidRPr="00E25419" w:rsidRDefault="00E25419" w:rsidP="00E25419">
      <w:pPr>
        <w:widowControl w:val="0"/>
        <w:jc w:val="both"/>
        <w:rPr>
          <w:rFonts w:ascii="Times New Roman" w:eastAsia="Arial" w:hAnsi="Times New Roman" w:cs="Times New Roman"/>
          <w:color w:val="333333"/>
          <w:sz w:val="18"/>
          <w:szCs w:val="18"/>
        </w:rPr>
      </w:pPr>
      <w:r w:rsidRPr="00E25419">
        <w:rPr>
          <w:rFonts w:ascii="Times New Roman" w:eastAsia="Arial" w:hAnsi="Times New Roman" w:cs="Times New Roman"/>
          <w:color w:val="333333"/>
          <w:sz w:val="18"/>
          <w:szCs w:val="18"/>
        </w:rPr>
        <w:t>Kumar, S., Clarke, D. &amp; Gerstein, M. Localized structural frustration for evaluating the impact of sequence variants. Nucleic acids research 44, 10062-10073, doi:10.1093/</w:t>
      </w:r>
      <w:proofErr w:type="spellStart"/>
      <w:r w:rsidRPr="00E25419">
        <w:rPr>
          <w:rFonts w:ascii="Times New Roman" w:eastAsia="Arial" w:hAnsi="Times New Roman" w:cs="Times New Roman"/>
          <w:color w:val="333333"/>
          <w:sz w:val="18"/>
          <w:szCs w:val="18"/>
        </w:rPr>
        <w:t>nar</w:t>
      </w:r>
      <w:proofErr w:type="spellEnd"/>
      <w:r w:rsidRPr="00E25419">
        <w:rPr>
          <w:rFonts w:ascii="Times New Roman" w:eastAsia="Arial" w:hAnsi="Times New Roman" w:cs="Times New Roman"/>
          <w:color w:val="333333"/>
          <w:sz w:val="18"/>
          <w:szCs w:val="18"/>
        </w:rPr>
        <w:t>/gkw927 (2016).</w:t>
      </w:r>
    </w:p>
    <w:p w14:paraId="42137953" w14:textId="77777777" w:rsidR="00E25419" w:rsidRPr="00E25419" w:rsidRDefault="00E25419" w:rsidP="00E25419">
      <w:pPr>
        <w:widowControl w:val="0"/>
        <w:jc w:val="both"/>
        <w:rPr>
          <w:rFonts w:ascii="Times New Roman" w:eastAsia="Arial" w:hAnsi="Times New Roman" w:cs="Times New Roman"/>
          <w:color w:val="333333"/>
          <w:sz w:val="18"/>
          <w:szCs w:val="18"/>
        </w:rPr>
      </w:pPr>
    </w:p>
    <w:p w14:paraId="00222CB7" w14:textId="77777777" w:rsidR="00E25419" w:rsidRPr="00E25419" w:rsidRDefault="00E25419" w:rsidP="00E25419">
      <w:pPr>
        <w:widowControl w:val="0"/>
        <w:jc w:val="both"/>
        <w:rPr>
          <w:rFonts w:ascii="Times New Roman" w:eastAsia="Arial" w:hAnsi="Times New Roman" w:cs="Times New Roman"/>
          <w:color w:val="333333"/>
          <w:sz w:val="18"/>
          <w:szCs w:val="18"/>
        </w:rPr>
      </w:pPr>
      <w:r w:rsidRPr="00E25419">
        <w:rPr>
          <w:rFonts w:ascii="Times New Roman" w:eastAsia="Arial" w:hAnsi="Times New Roman" w:cs="Times New Roman"/>
          <w:color w:val="333333"/>
          <w:sz w:val="18"/>
          <w:szCs w:val="18"/>
        </w:rPr>
        <w:t>Kumar, S., Clarke, D. &amp; Gerstein, M. B. Leveraging protein dynamics to identify cancer mutational hotspots using 3D structures. Proceedings of the National Academy of Sciences of the United States of America 116, 18962-18970, doi:10.1073/pnas.1901156116 (2019).</w:t>
      </w:r>
    </w:p>
    <w:p w14:paraId="3A1A0780" w14:textId="77777777" w:rsidR="00E25419" w:rsidRPr="00E25419" w:rsidRDefault="00E25419" w:rsidP="00E25419">
      <w:pPr>
        <w:widowControl w:val="0"/>
        <w:jc w:val="both"/>
        <w:rPr>
          <w:rFonts w:ascii="Times New Roman" w:eastAsia="Arial" w:hAnsi="Times New Roman" w:cs="Times New Roman"/>
          <w:color w:val="333333"/>
          <w:sz w:val="18"/>
          <w:szCs w:val="18"/>
        </w:rPr>
      </w:pPr>
    </w:p>
    <w:p w14:paraId="139E9AFC" w14:textId="77777777" w:rsidR="00E25419" w:rsidRPr="00E25419" w:rsidRDefault="00E25419" w:rsidP="00E25419">
      <w:pPr>
        <w:widowControl w:val="0"/>
        <w:jc w:val="both"/>
        <w:rPr>
          <w:rFonts w:ascii="Times New Roman" w:eastAsia="Arial" w:hAnsi="Times New Roman" w:cs="Times New Roman"/>
          <w:color w:val="333333"/>
          <w:sz w:val="18"/>
          <w:szCs w:val="18"/>
        </w:rPr>
      </w:pPr>
      <w:proofErr w:type="spellStart"/>
      <w:r w:rsidRPr="00E25419">
        <w:rPr>
          <w:rFonts w:ascii="Times New Roman" w:eastAsia="Arial" w:hAnsi="Times New Roman" w:cs="Times New Roman"/>
          <w:color w:val="333333"/>
          <w:sz w:val="18"/>
          <w:szCs w:val="18"/>
        </w:rPr>
        <w:t>Habegger</w:t>
      </w:r>
      <w:proofErr w:type="spellEnd"/>
      <w:r w:rsidRPr="00E25419">
        <w:rPr>
          <w:rFonts w:ascii="Times New Roman" w:eastAsia="Arial" w:hAnsi="Times New Roman" w:cs="Times New Roman"/>
          <w:color w:val="333333"/>
          <w:sz w:val="18"/>
          <w:szCs w:val="18"/>
        </w:rPr>
        <w:t>, L. et al. VAT: a computational framework to functionally annotate variants in personal genomes within a cloud-computing environment. Bioinformatics 28, 2267-2269, doi:10.1093/bioinformatics/bts368 (2012).</w:t>
      </w:r>
    </w:p>
    <w:p w14:paraId="46AC8379" w14:textId="77777777" w:rsidR="00E25419" w:rsidRPr="00E25419" w:rsidRDefault="00E25419" w:rsidP="00E25419">
      <w:pPr>
        <w:widowControl w:val="0"/>
        <w:jc w:val="both"/>
        <w:rPr>
          <w:rFonts w:ascii="Times New Roman" w:eastAsia="Arial" w:hAnsi="Times New Roman" w:cs="Times New Roman"/>
          <w:color w:val="333333"/>
          <w:sz w:val="18"/>
          <w:szCs w:val="18"/>
        </w:rPr>
      </w:pPr>
    </w:p>
    <w:p w14:paraId="633C8F33" w14:textId="77777777" w:rsidR="00E25419" w:rsidRPr="00E25419" w:rsidRDefault="00E25419" w:rsidP="00E25419">
      <w:pPr>
        <w:widowControl w:val="0"/>
        <w:jc w:val="both"/>
        <w:rPr>
          <w:rFonts w:ascii="Times New Roman" w:eastAsia="Arial" w:hAnsi="Times New Roman" w:cs="Times New Roman"/>
          <w:color w:val="333333"/>
          <w:sz w:val="18"/>
          <w:szCs w:val="18"/>
        </w:rPr>
      </w:pPr>
      <w:r w:rsidRPr="00E25419">
        <w:rPr>
          <w:rFonts w:ascii="Times New Roman" w:eastAsia="Arial" w:hAnsi="Times New Roman" w:cs="Times New Roman"/>
          <w:color w:val="333333"/>
          <w:sz w:val="18"/>
          <w:szCs w:val="18"/>
        </w:rPr>
        <w:t xml:space="preserve">Li S, </w:t>
      </w:r>
      <w:proofErr w:type="spellStart"/>
      <w:r w:rsidRPr="00E25419">
        <w:rPr>
          <w:rFonts w:ascii="Times New Roman" w:eastAsia="Arial" w:hAnsi="Times New Roman" w:cs="Times New Roman"/>
          <w:color w:val="333333"/>
          <w:sz w:val="18"/>
          <w:szCs w:val="18"/>
        </w:rPr>
        <w:t>Shuch</w:t>
      </w:r>
      <w:proofErr w:type="spellEnd"/>
      <w:r w:rsidRPr="00E25419">
        <w:rPr>
          <w:rFonts w:ascii="Times New Roman" w:eastAsia="Arial" w:hAnsi="Times New Roman" w:cs="Times New Roman"/>
          <w:color w:val="333333"/>
          <w:sz w:val="18"/>
          <w:szCs w:val="18"/>
        </w:rPr>
        <w:t xml:space="preserve"> BM, Gerstein MB. Whole-genome analysis of papillary kidney cancer finds significant noncoding alterations. </w:t>
      </w:r>
      <w:proofErr w:type="spellStart"/>
      <w:r w:rsidRPr="00E25419">
        <w:rPr>
          <w:rFonts w:ascii="Times New Roman" w:eastAsia="Arial" w:hAnsi="Times New Roman" w:cs="Times New Roman"/>
          <w:color w:val="333333"/>
          <w:sz w:val="18"/>
          <w:szCs w:val="18"/>
        </w:rPr>
        <w:t>PLoS</w:t>
      </w:r>
      <w:proofErr w:type="spellEnd"/>
      <w:r w:rsidRPr="00E25419">
        <w:rPr>
          <w:rFonts w:ascii="Times New Roman" w:eastAsia="Arial" w:hAnsi="Times New Roman" w:cs="Times New Roman"/>
          <w:color w:val="333333"/>
          <w:sz w:val="18"/>
          <w:szCs w:val="18"/>
        </w:rPr>
        <w:t xml:space="preserve"> genetics. 2017;13(3</w:t>
      </w:r>
      <w:proofErr w:type="gramStart"/>
      <w:r w:rsidRPr="00E25419">
        <w:rPr>
          <w:rFonts w:ascii="Times New Roman" w:eastAsia="Arial" w:hAnsi="Times New Roman" w:cs="Times New Roman"/>
          <w:color w:val="333333"/>
          <w:sz w:val="18"/>
          <w:szCs w:val="18"/>
        </w:rPr>
        <w:t>):e</w:t>
      </w:r>
      <w:proofErr w:type="gramEnd"/>
      <w:r w:rsidRPr="00E25419">
        <w:rPr>
          <w:rFonts w:ascii="Times New Roman" w:eastAsia="Arial" w:hAnsi="Times New Roman" w:cs="Times New Roman"/>
          <w:color w:val="333333"/>
          <w:sz w:val="18"/>
          <w:szCs w:val="18"/>
        </w:rPr>
        <w:t xml:space="preserve">1006685. </w:t>
      </w:r>
      <w:proofErr w:type="spellStart"/>
      <w:r w:rsidRPr="00E25419">
        <w:rPr>
          <w:rFonts w:ascii="Times New Roman" w:eastAsia="Arial" w:hAnsi="Times New Roman" w:cs="Times New Roman"/>
          <w:color w:val="333333"/>
          <w:sz w:val="18"/>
          <w:szCs w:val="18"/>
        </w:rPr>
        <w:t>Epub</w:t>
      </w:r>
      <w:proofErr w:type="spellEnd"/>
      <w:r w:rsidRPr="00E25419">
        <w:rPr>
          <w:rFonts w:ascii="Times New Roman" w:eastAsia="Arial" w:hAnsi="Times New Roman" w:cs="Times New Roman"/>
          <w:color w:val="333333"/>
          <w:sz w:val="18"/>
          <w:szCs w:val="18"/>
        </w:rPr>
        <w:t xml:space="preserve"> 2017/03/31. </w:t>
      </w:r>
      <w:proofErr w:type="spellStart"/>
      <w:r w:rsidRPr="00E25419">
        <w:rPr>
          <w:rFonts w:ascii="Times New Roman" w:eastAsia="Arial" w:hAnsi="Times New Roman" w:cs="Times New Roman"/>
          <w:color w:val="333333"/>
          <w:sz w:val="18"/>
          <w:szCs w:val="18"/>
        </w:rPr>
        <w:t>doi</w:t>
      </w:r>
      <w:proofErr w:type="spellEnd"/>
      <w:r w:rsidRPr="00E25419">
        <w:rPr>
          <w:rFonts w:ascii="Times New Roman" w:eastAsia="Arial" w:hAnsi="Times New Roman" w:cs="Times New Roman"/>
          <w:color w:val="333333"/>
          <w:sz w:val="18"/>
          <w:szCs w:val="18"/>
        </w:rPr>
        <w:t>: 10.1371/journal.pgen.1006685. PubMed PMID: 28358873; PMCID: PMC5391127.</w:t>
      </w:r>
    </w:p>
    <w:p w14:paraId="254E73FE" w14:textId="77777777" w:rsidR="00E25419" w:rsidRPr="00E25419" w:rsidRDefault="00E25419" w:rsidP="00E25419">
      <w:pPr>
        <w:widowControl w:val="0"/>
        <w:jc w:val="both"/>
        <w:rPr>
          <w:rFonts w:ascii="Times New Roman" w:eastAsia="Arial" w:hAnsi="Times New Roman" w:cs="Times New Roman"/>
          <w:color w:val="333333"/>
          <w:sz w:val="18"/>
          <w:szCs w:val="18"/>
        </w:rPr>
      </w:pPr>
    </w:p>
    <w:p w14:paraId="4DC4904B" w14:textId="77777777" w:rsidR="00E25419" w:rsidRPr="00E25419" w:rsidRDefault="00E25419" w:rsidP="00E25419">
      <w:pPr>
        <w:widowControl w:val="0"/>
        <w:jc w:val="both"/>
        <w:rPr>
          <w:rFonts w:ascii="Times New Roman" w:eastAsia="Arial" w:hAnsi="Times New Roman" w:cs="Times New Roman"/>
          <w:color w:val="333333"/>
          <w:sz w:val="18"/>
          <w:szCs w:val="18"/>
        </w:rPr>
      </w:pPr>
      <w:proofErr w:type="spellStart"/>
      <w:r w:rsidRPr="00E25419">
        <w:rPr>
          <w:rFonts w:ascii="Times New Roman" w:eastAsia="Arial" w:hAnsi="Times New Roman" w:cs="Times New Roman"/>
          <w:color w:val="333333"/>
          <w:sz w:val="18"/>
          <w:szCs w:val="18"/>
        </w:rPr>
        <w:t>Rozowsky</w:t>
      </w:r>
      <w:proofErr w:type="spellEnd"/>
      <w:r w:rsidRPr="00E25419">
        <w:rPr>
          <w:rFonts w:ascii="Times New Roman" w:eastAsia="Arial" w:hAnsi="Times New Roman" w:cs="Times New Roman"/>
          <w:color w:val="333333"/>
          <w:sz w:val="18"/>
          <w:szCs w:val="18"/>
        </w:rPr>
        <w:t xml:space="preserve">, J. et al. </w:t>
      </w:r>
      <w:proofErr w:type="spellStart"/>
      <w:r w:rsidRPr="00E25419">
        <w:rPr>
          <w:rFonts w:ascii="Times New Roman" w:eastAsia="Arial" w:hAnsi="Times New Roman" w:cs="Times New Roman"/>
          <w:color w:val="333333"/>
          <w:sz w:val="18"/>
          <w:szCs w:val="18"/>
        </w:rPr>
        <w:t>AlleleSeq</w:t>
      </w:r>
      <w:proofErr w:type="spellEnd"/>
      <w:r w:rsidRPr="00E25419">
        <w:rPr>
          <w:rFonts w:ascii="Times New Roman" w:eastAsia="Arial" w:hAnsi="Times New Roman" w:cs="Times New Roman"/>
          <w:color w:val="333333"/>
          <w:sz w:val="18"/>
          <w:szCs w:val="18"/>
        </w:rPr>
        <w:t>: analysis of allele-specific expression and binding in a network framework. Molecular systems biology 7, 522, doi:10.1038/msb.2011.54 (2011).</w:t>
      </w:r>
    </w:p>
    <w:p w14:paraId="08E06FDB" w14:textId="77777777" w:rsidR="00E25419" w:rsidRPr="00E25419" w:rsidRDefault="00E25419" w:rsidP="00E25419">
      <w:pPr>
        <w:widowControl w:val="0"/>
        <w:jc w:val="both"/>
        <w:rPr>
          <w:rFonts w:ascii="Times New Roman" w:eastAsia="Arial" w:hAnsi="Times New Roman" w:cs="Times New Roman"/>
          <w:color w:val="333333"/>
          <w:sz w:val="18"/>
          <w:szCs w:val="18"/>
        </w:rPr>
      </w:pPr>
    </w:p>
    <w:p w14:paraId="252FD989" w14:textId="77777777" w:rsidR="00E25419" w:rsidRPr="00E25419" w:rsidRDefault="00E25419" w:rsidP="00E25419">
      <w:pPr>
        <w:widowControl w:val="0"/>
        <w:jc w:val="both"/>
        <w:rPr>
          <w:rFonts w:ascii="Times New Roman" w:eastAsia="Arial" w:hAnsi="Times New Roman" w:cs="Times New Roman"/>
          <w:color w:val="333333"/>
          <w:sz w:val="18"/>
          <w:szCs w:val="18"/>
        </w:rPr>
      </w:pPr>
      <w:proofErr w:type="spellStart"/>
      <w:r w:rsidRPr="00E25419">
        <w:rPr>
          <w:rFonts w:ascii="Times New Roman" w:eastAsia="Arial" w:hAnsi="Times New Roman" w:cs="Times New Roman"/>
          <w:color w:val="333333"/>
          <w:sz w:val="18"/>
          <w:szCs w:val="18"/>
        </w:rPr>
        <w:t>Sboner</w:t>
      </w:r>
      <w:proofErr w:type="spellEnd"/>
      <w:r w:rsidRPr="00E25419">
        <w:rPr>
          <w:rFonts w:ascii="Times New Roman" w:eastAsia="Arial" w:hAnsi="Times New Roman" w:cs="Times New Roman"/>
          <w:color w:val="333333"/>
          <w:sz w:val="18"/>
          <w:szCs w:val="18"/>
        </w:rPr>
        <w:t xml:space="preserve">, Andrea, Lukas </w:t>
      </w:r>
      <w:proofErr w:type="spellStart"/>
      <w:r w:rsidRPr="00E25419">
        <w:rPr>
          <w:rFonts w:ascii="Times New Roman" w:eastAsia="Arial" w:hAnsi="Times New Roman" w:cs="Times New Roman"/>
          <w:color w:val="333333"/>
          <w:sz w:val="18"/>
          <w:szCs w:val="18"/>
        </w:rPr>
        <w:t>Habegger</w:t>
      </w:r>
      <w:proofErr w:type="spellEnd"/>
      <w:r w:rsidRPr="00E25419">
        <w:rPr>
          <w:rFonts w:ascii="Times New Roman" w:eastAsia="Arial" w:hAnsi="Times New Roman" w:cs="Times New Roman"/>
          <w:color w:val="333333"/>
          <w:sz w:val="18"/>
          <w:szCs w:val="18"/>
        </w:rPr>
        <w:t xml:space="preserve">, </w:t>
      </w:r>
      <w:proofErr w:type="spellStart"/>
      <w:r w:rsidRPr="00E25419">
        <w:rPr>
          <w:rFonts w:ascii="Times New Roman" w:eastAsia="Arial" w:hAnsi="Times New Roman" w:cs="Times New Roman"/>
          <w:color w:val="333333"/>
          <w:sz w:val="18"/>
          <w:szCs w:val="18"/>
        </w:rPr>
        <w:t>Dorothee</w:t>
      </w:r>
      <w:proofErr w:type="spellEnd"/>
      <w:r w:rsidRPr="00E25419">
        <w:rPr>
          <w:rFonts w:ascii="Times New Roman" w:eastAsia="Arial" w:hAnsi="Times New Roman" w:cs="Times New Roman"/>
          <w:color w:val="333333"/>
          <w:sz w:val="18"/>
          <w:szCs w:val="18"/>
        </w:rPr>
        <w:t xml:space="preserve"> Pflueger, Stephane Terry, David Z. Chen, Joel S. </w:t>
      </w:r>
      <w:proofErr w:type="spellStart"/>
      <w:r w:rsidRPr="00E25419">
        <w:rPr>
          <w:rFonts w:ascii="Times New Roman" w:eastAsia="Arial" w:hAnsi="Times New Roman" w:cs="Times New Roman"/>
          <w:color w:val="333333"/>
          <w:sz w:val="18"/>
          <w:szCs w:val="18"/>
        </w:rPr>
        <w:t>Rozowsky</w:t>
      </w:r>
      <w:proofErr w:type="spellEnd"/>
      <w:r w:rsidRPr="00E25419">
        <w:rPr>
          <w:rFonts w:ascii="Times New Roman" w:eastAsia="Arial" w:hAnsi="Times New Roman" w:cs="Times New Roman"/>
          <w:color w:val="333333"/>
          <w:sz w:val="18"/>
          <w:szCs w:val="18"/>
        </w:rPr>
        <w:t>, Ashutosh K. Tewari et al. "</w:t>
      </w:r>
      <w:proofErr w:type="spellStart"/>
      <w:r w:rsidRPr="00E25419">
        <w:rPr>
          <w:rFonts w:ascii="Times New Roman" w:eastAsia="Arial" w:hAnsi="Times New Roman" w:cs="Times New Roman"/>
          <w:color w:val="333333"/>
          <w:sz w:val="18"/>
          <w:szCs w:val="18"/>
        </w:rPr>
        <w:t>FusionSeq</w:t>
      </w:r>
      <w:proofErr w:type="spellEnd"/>
      <w:r w:rsidRPr="00E25419">
        <w:rPr>
          <w:rFonts w:ascii="Times New Roman" w:eastAsia="Arial" w:hAnsi="Times New Roman" w:cs="Times New Roman"/>
          <w:color w:val="333333"/>
          <w:sz w:val="18"/>
          <w:szCs w:val="18"/>
        </w:rPr>
        <w:t>: a modular framework for finding gene fusions by analyzing paired-end RNA-sequencing data." Genome biology 11 (2010): 1-19.</w:t>
      </w:r>
    </w:p>
    <w:p w14:paraId="37B9205B" w14:textId="77777777" w:rsidR="00E25419" w:rsidRPr="00E25419" w:rsidRDefault="00E25419" w:rsidP="00E25419">
      <w:pPr>
        <w:widowControl w:val="0"/>
        <w:jc w:val="both"/>
        <w:rPr>
          <w:rFonts w:ascii="Times New Roman" w:eastAsia="Arial" w:hAnsi="Times New Roman" w:cs="Times New Roman"/>
          <w:color w:val="333333"/>
          <w:sz w:val="18"/>
          <w:szCs w:val="18"/>
        </w:rPr>
      </w:pPr>
    </w:p>
    <w:p w14:paraId="541B16C1" w14:textId="77777777" w:rsidR="00E25419" w:rsidRPr="00E25419" w:rsidRDefault="00E25419" w:rsidP="00E25419">
      <w:pPr>
        <w:widowControl w:val="0"/>
        <w:jc w:val="both"/>
        <w:rPr>
          <w:rFonts w:ascii="Times New Roman" w:eastAsia="Arial" w:hAnsi="Times New Roman" w:cs="Times New Roman"/>
          <w:color w:val="333333"/>
          <w:sz w:val="18"/>
          <w:szCs w:val="18"/>
        </w:rPr>
      </w:pPr>
      <w:r w:rsidRPr="00E25419">
        <w:rPr>
          <w:rFonts w:ascii="Times New Roman" w:eastAsia="Arial" w:hAnsi="Times New Roman" w:cs="Times New Roman"/>
          <w:color w:val="333333"/>
          <w:sz w:val="18"/>
          <w:szCs w:val="18"/>
        </w:rPr>
        <w:t>Song, T. et al. Predicting spatially resolved gene expression via tissue morphology using adaptive spatial GNNs. Bioinformatics 40, ii111-ii119, doi:10.1093/bioinformatics/btae383 (2024).</w:t>
      </w:r>
    </w:p>
    <w:p w14:paraId="2E44BFD5" w14:textId="77777777" w:rsidR="00E25419" w:rsidRPr="00E25419" w:rsidRDefault="00E25419" w:rsidP="00E25419">
      <w:pPr>
        <w:widowControl w:val="0"/>
        <w:jc w:val="both"/>
        <w:rPr>
          <w:rFonts w:ascii="Times New Roman" w:eastAsia="Arial" w:hAnsi="Times New Roman" w:cs="Times New Roman"/>
          <w:color w:val="333333"/>
          <w:sz w:val="18"/>
          <w:szCs w:val="18"/>
        </w:rPr>
      </w:pPr>
    </w:p>
    <w:p w14:paraId="1E80206E" w14:textId="77777777" w:rsidR="00E25419" w:rsidRPr="00E25419" w:rsidRDefault="00E25419" w:rsidP="00E25419">
      <w:pPr>
        <w:widowControl w:val="0"/>
        <w:jc w:val="both"/>
        <w:rPr>
          <w:rFonts w:ascii="Times New Roman" w:eastAsia="Arial" w:hAnsi="Times New Roman" w:cs="Times New Roman"/>
          <w:color w:val="333333"/>
          <w:sz w:val="18"/>
          <w:szCs w:val="18"/>
        </w:rPr>
      </w:pPr>
      <w:r w:rsidRPr="00E25419">
        <w:rPr>
          <w:rFonts w:ascii="Times New Roman" w:eastAsia="Arial" w:hAnsi="Times New Roman" w:cs="Times New Roman"/>
          <w:color w:val="333333"/>
          <w:sz w:val="18"/>
          <w:szCs w:val="18"/>
        </w:rPr>
        <w:t xml:space="preserve">Wang, G., </w:t>
      </w:r>
      <w:proofErr w:type="spellStart"/>
      <w:r w:rsidRPr="00E25419">
        <w:rPr>
          <w:rFonts w:ascii="Times New Roman" w:eastAsia="Arial" w:hAnsi="Times New Roman" w:cs="Times New Roman"/>
          <w:color w:val="333333"/>
          <w:sz w:val="18"/>
          <w:szCs w:val="18"/>
        </w:rPr>
        <w:t>Warrell</w:t>
      </w:r>
      <w:proofErr w:type="spellEnd"/>
      <w:r w:rsidRPr="00E25419">
        <w:rPr>
          <w:rFonts w:ascii="Times New Roman" w:eastAsia="Arial" w:hAnsi="Times New Roman" w:cs="Times New Roman"/>
          <w:color w:val="333333"/>
          <w:sz w:val="18"/>
          <w:szCs w:val="18"/>
        </w:rPr>
        <w:t xml:space="preserve">, J., Zheng, S. &amp; Gerstein, M. A variational graph-partitioning approach to modeling protein liquid-liquid phase separation. Cell Reports Physical Science 5, </w:t>
      </w:r>
      <w:proofErr w:type="gramStart"/>
      <w:r w:rsidRPr="00E25419">
        <w:rPr>
          <w:rFonts w:ascii="Times New Roman" w:eastAsia="Arial" w:hAnsi="Times New Roman" w:cs="Times New Roman"/>
          <w:color w:val="333333"/>
          <w:sz w:val="18"/>
          <w:szCs w:val="18"/>
        </w:rPr>
        <w:t>doi:10.1016/j.xcrp</w:t>
      </w:r>
      <w:proofErr w:type="gramEnd"/>
      <w:r w:rsidRPr="00E25419">
        <w:rPr>
          <w:rFonts w:ascii="Times New Roman" w:eastAsia="Arial" w:hAnsi="Times New Roman" w:cs="Times New Roman"/>
          <w:color w:val="333333"/>
          <w:sz w:val="18"/>
          <w:szCs w:val="18"/>
        </w:rPr>
        <w:t>.2024.102292 (2024).</w:t>
      </w:r>
    </w:p>
    <w:p w14:paraId="4C161BDE" w14:textId="77777777" w:rsidR="00E25419" w:rsidRPr="00E25419" w:rsidRDefault="00E25419" w:rsidP="00E25419">
      <w:pPr>
        <w:widowControl w:val="0"/>
        <w:jc w:val="both"/>
        <w:rPr>
          <w:rFonts w:ascii="Times New Roman" w:eastAsia="Arial" w:hAnsi="Times New Roman" w:cs="Times New Roman"/>
          <w:color w:val="333333"/>
          <w:sz w:val="22"/>
          <w:szCs w:val="22"/>
          <w:highlight w:val="white"/>
        </w:rPr>
      </w:pPr>
    </w:p>
    <w:sectPr w:rsidR="00E25419" w:rsidRPr="00E25419" w:rsidSect="00DA13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22D"/>
    <w:rsid w:val="00017576"/>
    <w:rsid w:val="000368C7"/>
    <w:rsid w:val="00093893"/>
    <w:rsid w:val="000948D1"/>
    <w:rsid w:val="000A39C4"/>
    <w:rsid w:val="000D5321"/>
    <w:rsid w:val="0015443B"/>
    <w:rsid w:val="00156B0C"/>
    <w:rsid w:val="001C35C2"/>
    <w:rsid w:val="001E2ED5"/>
    <w:rsid w:val="001F316F"/>
    <w:rsid w:val="00225DFE"/>
    <w:rsid w:val="002274A3"/>
    <w:rsid w:val="00230500"/>
    <w:rsid w:val="00280B3B"/>
    <w:rsid w:val="00290257"/>
    <w:rsid w:val="00293A77"/>
    <w:rsid w:val="002E455F"/>
    <w:rsid w:val="00313975"/>
    <w:rsid w:val="003139E3"/>
    <w:rsid w:val="00327E5F"/>
    <w:rsid w:val="003C15AF"/>
    <w:rsid w:val="003F61A2"/>
    <w:rsid w:val="00422C6B"/>
    <w:rsid w:val="004240E3"/>
    <w:rsid w:val="00494EE0"/>
    <w:rsid w:val="004C7E83"/>
    <w:rsid w:val="004F08DE"/>
    <w:rsid w:val="0054013A"/>
    <w:rsid w:val="00564F29"/>
    <w:rsid w:val="005904F8"/>
    <w:rsid w:val="0061743F"/>
    <w:rsid w:val="0067522D"/>
    <w:rsid w:val="006E5F9E"/>
    <w:rsid w:val="0070568B"/>
    <w:rsid w:val="00750D62"/>
    <w:rsid w:val="007B21F2"/>
    <w:rsid w:val="007F1780"/>
    <w:rsid w:val="007F7093"/>
    <w:rsid w:val="00821AAE"/>
    <w:rsid w:val="008358A6"/>
    <w:rsid w:val="008540DD"/>
    <w:rsid w:val="00862B2F"/>
    <w:rsid w:val="00911BC6"/>
    <w:rsid w:val="009B4F7D"/>
    <w:rsid w:val="009F489A"/>
    <w:rsid w:val="00A654B8"/>
    <w:rsid w:val="00A74099"/>
    <w:rsid w:val="00AC35AA"/>
    <w:rsid w:val="00B05BE7"/>
    <w:rsid w:val="00B05E3D"/>
    <w:rsid w:val="00B460D8"/>
    <w:rsid w:val="00B822BD"/>
    <w:rsid w:val="00B860EF"/>
    <w:rsid w:val="00B95BD1"/>
    <w:rsid w:val="00BB0B8F"/>
    <w:rsid w:val="00BB2BE3"/>
    <w:rsid w:val="00BD21AD"/>
    <w:rsid w:val="00C34D87"/>
    <w:rsid w:val="00CE08C0"/>
    <w:rsid w:val="00D53DBA"/>
    <w:rsid w:val="00D54E6B"/>
    <w:rsid w:val="00DA13AB"/>
    <w:rsid w:val="00DA5A4A"/>
    <w:rsid w:val="00DD38FA"/>
    <w:rsid w:val="00E25419"/>
    <w:rsid w:val="00E875ED"/>
    <w:rsid w:val="00EB1E4C"/>
    <w:rsid w:val="00EF31C5"/>
    <w:rsid w:val="00F207E8"/>
    <w:rsid w:val="00F40F5C"/>
    <w:rsid w:val="00FA2161"/>
    <w:rsid w:val="00FC2E95"/>
    <w:rsid w:val="00FD77AE"/>
    <w:rsid w:val="00FF4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6308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904F8"/>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B1E4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EF31C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4F8"/>
    <w:rPr>
      <w:rFonts w:ascii="Times New Roman" w:hAnsi="Times New Roman" w:cs="Times New Roman"/>
      <w:b/>
      <w:bCs/>
      <w:kern w:val="36"/>
      <w:sz w:val="48"/>
      <w:szCs w:val="48"/>
    </w:rPr>
  </w:style>
  <w:style w:type="paragraph" w:styleId="NormalWeb">
    <w:name w:val="Normal (Web)"/>
    <w:basedOn w:val="Normal"/>
    <w:uiPriority w:val="99"/>
    <w:semiHidden/>
    <w:unhideWhenUsed/>
    <w:rsid w:val="005904F8"/>
    <w:pPr>
      <w:spacing w:before="100" w:beforeAutospacing="1" w:after="100" w:afterAutospacing="1"/>
    </w:pPr>
    <w:rPr>
      <w:rFonts w:ascii="Times New Roman" w:hAnsi="Times New Roman" w:cs="Times New Roman"/>
    </w:rPr>
  </w:style>
  <w:style w:type="character" w:customStyle="1" w:styleId="Heading2Char">
    <w:name w:val="Heading 2 Char"/>
    <w:basedOn w:val="DefaultParagraphFont"/>
    <w:link w:val="Heading2"/>
    <w:uiPriority w:val="9"/>
    <w:semiHidden/>
    <w:rsid w:val="00EB1E4C"/>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EB1E4C"/>
    <w:rPr>
      <w:color w:val="0000FF"/>
      <w:u w:val="single"/>
    </w:rPr>
  </w:style>
  <w:style w:type="character" w:customStyle="1" w:styleId="Heading4Char">
    <w:name w:val="Heading 4 Char"/>
    <w:basedOn w:val="DefaultParagraphFont"/>
    <w:link w:val="Heading4"/>
    <w:uiPriority w:val="9"/>
    <w:semiHidden/>
    <w:rsid w:val="00EF31C5"/>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8977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lleledb.gersteinlab.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1669</Words>
  <Characters>9517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Clarke, Declan</cp:lastModifiedBy>
  <cp:revision>34</cp:revision>
  <cp:lastPrinted>2019-08-21T19:47:00Z</cp:lastPrinted>
  <dcterms:created xsi:type="dcterms:W3CDTF">2019-08-21T19:34:00Z</dcterms:created>
  <dcterms:modified xsi:type="dcterms:W3CDTF">2025-06-09T21:09:00Z</dcterms:modified>
</cp:coreProperties>
</file>