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3A2B" w14:textId="00B6AC7F" w:rsidR="007721FD" w:rsidRPr="007721FD" w:rsidRDefault="007721FD" w:rsidP="00320CC7">
      <w:pPr>
        <w:pStyle w:val="Default"/>
        <w:jc w:val="both"/>
        <w:rPr>
          <w:color w:val="auto"/>
          <w:sz w:val="22"/>
          <w:szCs w:val="22"/>
        </w:rPr>
      </w:pPr>
      <w:r w:rsidRPr="007721FD">
        <w:rPr>
          <w:b/>
          <w:bCs/>
          <w:sz w:val="22"/>
          <w:szCs w:val="22"/>
        </w:rPr>
        <w:t>Gerstein lab experience in deep-learning models for genome annotation</w:t>
      </w:r>
      <w:r>
        <w:rPr>
          <w:sz w:val="22"/>
          <w:szCs w:val="22"/>
        </w:rPr>
        <w:t xml:space="preserve">: </w:t>
      </w:r>
      <w:r w:rsidRPr="007721FD">
        <w:rPr>
          <w:color w:val="auto"/>
          <w:sz w:val="22"/>
          <w:szCs w:val="22"/>
        </w:rPr>
        <w:t>Dr. Gerstein has been extensively involved in leading roles across numerous significant genomic research consortia to better understand gene regulation and non-coding variation</w:t>
      </w:r>
      <w:r w:rsidRPr="00320CC7">
        <w:rPr>
          <w:color w:val="auto"/>
          <w:sz w:val="22"/>
          <w:szCs w:val="22"/>
          <w:vertAlign w:val="subscript"/>
        </w:rPr>
        <w:t>35–37</w:t>
      </w:r>
      <w:r w:rsidRPr="007721FD">
        <w:rPr>
          <w:color w:val="auto"/>
          <w:sz w:val="22"/>
          <w:szCs w:val="22"/>
        </w:rPr>
        <w:t>, including ENCODE</w:t>
      </w:r>
      <w:r w:rsidRPr="00320CC7">
        <w:rPr>
          <w:color w:val="auto"/>
          <w:sz w:val="22"/>
          <w:szCs w:val="22"/>
          <w:vertAlign w:val="subscript"/>
        </w:rPr>
        <w:t>27</w:t>
      </w:r>
      <w:r w:rsidRPr="007721FD">
        <w:rPr>
          <w:color w:val="auto"/>
          <w:sz w:val="22"/>
          <w:szCs w:val="22"/>
        </w:rPr>
        <w:t>, GENCODE</w:t>
      </w:r>
      <w:r w:rsidRPr="00320CC7">
        <w:rPr>
          <w:color w:val="auto"/>
          <w:sz w:val="22"/>
          <w:szCs w:val="22"/>
          <w:vertAlign w:val="subscript"/>
        </w:rPr>
        <w:t>38</w:t>
      </w:r>
      <w:r w:rsidRPr="007721FD">
        <w:rPr>
          <w:color w:val="auto"/>
          <w:sz w:val="22"/>
          <w:szCs w:val="22"/>
        </w:rPr>
        <w:t>, the 1000 Genomes Project</w:t>
      </w:r>
      <w:r w:rsidRPr="00320CC7">
        <w:rPr>
          <w:color w:val="auto"/>
          <w:sz w:val="22"/>
          <w:szCs w:val="22"/>
          <w:vertAlign w:val="subscript"/>
        </w:rPr>
        <w:t>39–41</w:t>
      </w:r>
      <w:r w:rsidRPr="007721FD">
        <w:rPr>
          <w:color w:val="auto"/>
          <w:sz w:val="22"/>
          <w:szCs w:val="22"/>
        </w:rPr>
        <w:t>, and IGVF42. Furthermore, the Gerstein lab has achieved significant advancements in the methodologies used to prioritize variants at multiple levels, including coding and non-coding variant prioritization, rare somatic and germline burden tests, and detailed allelic analysis</w:t>
      </w:r>
      <w:r w:rsidRPr="00320CC7">
        <w:rPr>
          <w:color w:val="auto"/>
          <w:sz w:val="22"/>
          <w:szCs w:val="22"/>
          <w:vertAlign w:val="subscript"/>
        </w:rPr>
        <w:t>40,43–46</w:t>
      </w:r>
      <w:r w:rsidRPr="007721FD">
        <w:rPr>
          <w:color w:val="auto"/>
          <w:sz w:val="22"/>
          <w:szCs w:val="22"/>
        </w:rPr>
        <w:t xml:space="preserve">. This work has enhanced our understanding of the genomic architecture by analyzing protein-coding and non-coding regions. </w:t>
      </w:r>
    </w:p>
    <w:p w14:paraId="3C0A33D1" w14:textId="77777777" w:rsidR="007721FD" w:rsidRDefault="007721FD" w:rsidP="007721FD">
      <w:pPr>
        <w:pStyle w:val="Default"/>
        <w:rPr>
          <w:color w:val="auto"/>
          <w:sz w:val="22"/>
          <w:szCs w:val="22"/>
        </w:rPr>
      </w:pPr>
    </w:p>
    <w:p w14:paraId="1E778B2B" w14:textId="77777777" w:rsidR="007721FD" w:rsidRDefault="007721FD" w:rsidP="00320CC7">
      <w:pPr>
        <w:pStyle w:val="Default"/>
        <w:jc w:val="both"/>
        <w:rPr>
          <w:color w:val="auto"/>
          <w:sz w:val="22"/>
          <w:szCs w:val="22"/>
        </w:rPr>
      </w:pPr>
      <w:r>
        <w:rPr>
          <w:color w:val="auto"/>
          <w:sz w:val="22"/>
          <w:szCs w:val="22"/>
        </w:rPr>
        <w:t>The Gerstein lab recently led efforts to develop the EN-</w:t>
      </w:r>
      <w:proofErr w:type="spellStart"/>
      <w:r>
        <w:rPr>
          <w:color w:val="auto"/>
          <w:sz w:val="22"/>
          <w:szCs w:val="22"/>
        </w:rPr>
        <w:t>TEx</w:t>
      </w:r>
      <w:proofErr w:type="spellEnd"/>
      <w:r>
        <w:rPr>
          <w:color w:val="auto"/>
          <w:sz w:val="22"/>
          <w:szCs w:val="22"/>
        </w:rPr>
        <w:t xml:space="preserve"> resource, a multi-tissue epigenomic dataset comprising &gt;1,600 assays mapped to the personal genomes of four </w:t>
      </w:r>
      <w:proofErr w:type="gramStart"/>
      <w:r>
        <w:rPr>
          <w:color w:val="auto"/>
          <w:sz w:val="22"/>
          <w:szCs w:val="22"/>
        </w:rPr>
        <w:t>individuals, and</w:t>
      </w:r>
      <w:proofErr w:type="gramEnd"/>
      <w:r>
        <w:rPr>
          <w:color w:val="auto"/>
          <w:sz w:val="22"/>
          <w:szCs w:val="22"/>
        </w:rPr>
        <w:t xml:space="preserve"> analyzed the impact of non-coding DNA variant effects towards transcription factor (TF) binding and histone modification</w:t>
      </w:r>
      <w:r>
        <w:rPr>
          <w:color w:val="auto"/>
          <w:sz w:val="13"/>
          <w:szCs w:val="13"/>
        </w:rPr>
        <w:t>25</w:t>
      </w:r>
      <w:r>
        <w:rPr>
          <w:color w:val="auto"/>
          <w:sz w:val="22"/>
          <w:szCs w:val="22"/>
        </w:rPr>
        <w:t>. We specifically used transformer-based language models to predict variant impact towards allele-specific (AS) behavior, such as transcription factor binding or gene expression, based on sequential contexts. Traditionally, allele-specific behavior is measured by mapping functional genomics data to personalized diploid genome sequences and using statistical tests to find changes in read depth between haplotypes at heterozygous SNVs</w:t>
      </w:r>
      <w:r>
        <w:rPr>
          <w:color w:val="auto"/>
          <w:sz w:val="13"/>
          <w:szCs w:val="13"/>
        </w:rPr>
        <w:t>46</w:t>
      </w:r>
      <w:r>
        <w:rPr>
          <w:color w:val="auto"/>
          <w:sz w:val="22"/>
          <w:szCs w:val="22"/>
        </w:rPr>
        <w:t>. Here, we trained a transformer model incorporating DNABERT</w:t>
      </w:r>
      <w:r>
        <w:rPr>
          <w:color w:val="auto"/>
          <w:sz w:val="13"/>
          <w:szCs w:val="13"/>
        </w:rPr>
        <w:t xml:space="preserve">2 </w:t>
      </w:r>
      <w:r>
        <w:rPr>
          <w:color w:val="auto"/>
          <w:sz w:val="22"/>
          <w:szCs w:val="22"/>
        </w:rPr>
        <w:t>to predict which heterozygous SNVs exhibit allele-specific activity using the local sequence context (200-bp window) around the SNV (</w:t>
      </w:r>
      <w:r>
        <w:rPr>
          <w:b/>
          <w:bCs/>
          <w:i/>
          <w:iCs/>
          <w:color w:val="auto"/>
          <w:sz w:val="22"/>
          <w:szCs w:val="22"/>
        </w:rPr>
        <w:t>Fig. 6A</w:t>
      </w:r>
      <w:r>
        <w:rPr>
          <w:color w:val="auto"/>
          <w:sz w:val="22"/>
          <w:szCs w:val="22"/>
        </w:rPr>
        <w:t>). We used attention layers in the transformer model to calculate attention scores representing dependencies within the sequence, enabling the model to capture complex interactions analogous to grammars in natural languages. Our model outperformed several baselines in terms of prediction accuracy; for example, we accurately predicted allele-specific expression and binding for several transcription factors (CTCF and POL2) and histone modifications (H3K4me3 and H3K27ac) (</w:t>
      </w:r>
      <w:r>
        <w:rPr>
          <w:b/>
          <w:bCs/>
          <w:i/>
          <w:iCs/>
          <w:color w:val="auto"/>
          <w:sz w:val="22"/>
          <w:szCs w:val="22"/>
        </w:rPr>
        <w:t>Fig. 6B</w:t>
      </w:r>
      <w:r>
        <w:rPr>
          <w:color w:val="auto"/>
          <w:sz w:val="22"/>
          <w:szCs w:val="22"/>
        </w:rPr>
        <w:t>). Furthermore, attention scores from the transformer model showed similar patterns to enrichment of related TF motifs, and highlighted regions important for prediction, recapitulating motifs known to affect TF binding and revealing potential new motifs (</w:t>
      </w:r>
      <w:r>
        <w:rPr>
          <w:b/>
          <w:bCs/>
          <w:i/>
          <w:iCs/>
          <w:color w:val="auto"/>
          <w:sz w:val="22"/>
          <w:szCs w:val="22"/>
        </w:rPr>
        <w:t>Fig. 6C</w:t>
      </w:r>
      <w:r>
        <w:rPr>
          <w:color w:val="auto"/>
          <w:sz w:val="22"/>
          <w:szCs w:val="22"/>
        </w:rPr>
        <w:t xml:space="preserve">). When combined with tissue-specific epigenetic signals, the sequence-based scores contributed significantly to predict differential variant effects across tissues. These findings demonstrate that transformer models can learn dependencies between genomic sequential patterns without prior knowledge to provide novel insights into the mechanisms underlying variant effects. </w:t>
      </w:r>
    </w:p>
    <w:p w14:paraId="407D63AB" w14:textId="77777777" w:rsidR="007721FD" w:rsidRDefault="007721FD" w:rsidP="007721FD">
      <w:pPr>
        <w:pStyle w:val="Default"/>
        <w:rPr>
          <w:color w:val="auto"/>
          <w:sz w:val="22"/>
          <w:szCs w:val="22"/>
        </w:rPr>
      </w:pPr>
    </w:p>
    <w:p w14:paraId="415A8BA4" w14:textId="77777777" w:rsidR="007721FD" w:rsidRDefault="007721FD" w:rsidP="007721FD">
      <w:pPr>
        <w:pStyle w:val="Default"/>
        <w:rPr>
          <w:b/>
          <w:bCs/>
          <w:color w:val="auto"/>
          <w:sz w:val="20"/>
          <w:szCs w:val="20"/>
        </w:rPr>
      </w:pPr>
      <w:r>
        <w:rPr>
          <w:b/>
          <w:bCs/>
          <w:color w:val="auto"/>
          <w:sz w:val="20"/>
          <w:szCs w:val="20"/>
        </w:rPr>
        <w:t>Figure 6. Transformer model for predicting allele-specific (AS) behavior in the EN-</w:t>
      </w:r>
      <w:proofErr w:type="spellStart"/>
      <w:r>
        <w:rPr>
          <w:b/>
          <w:bCs/>
          <w:color w:val="auto"/>
          <w:sz w:val="20"/>
          <w:szCs w:val="20"/>
        </w:rPr>
        <w:t>TEx</w:t>
      </w:r>
      <w:proofErr w:type="spellEnd"/>
      <w:r>
        <w:rPr>
          <w:b/>
          <w:bCs/>
          <w:color w:val="auto"/>
          <w:sz w:val="20"/>
          <w:szCs w:val="20"/>
        </w:rPr>
        <w:t xml:space="preserve"> resource. </w:t>
      </w:r>
    </w:p>
    <w:p w14:paraId="62E19ED1" w14:textId="7F693E94" w:rsidR="007721FD" w:rsidRDefault="007721FD" w:rsidP="007721FD">
      <w:pPr>
        <w:pStyle w:val="Default"/>
        <w:rPr>
          <w:b/>
          <w:bCs/>
          <w:color w:val="auto"/>
          <w:sz w:val="20"/>
          <w:szCs w:val="20"/>
        </w:rPr>
      </w:pPr>
      <w:r w:rsidRPr="007721FD">
        <w:rPr>
          <w:b/>
          <w:bCs/>
          <w:color w:val="auto"/>
          <w:sz w:val="20"/>
          <w:szCs w:val="20"/>
        </w:rPr>
        <w:drawing>
          <wp:inline distT="0" distB="0" distL="0" distR="0" wp14:anchorId="0392BD7D" wp14:editId="20AEDA90">
            <wp:extent cx="5990902" cy="1566249"/>
            <wp:effectExtent l="0" t="0" r="3810" b="0"/>
            <wp:docPr id="57729988" name="Picture 1"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9988" name="Picture 1" descr="A close-up of a graph&#10;&#10;AI-generated content may be incorrect."/>
                    <pic:cNvPicPr/>
                  </pic:nvPicPr>
                  <pic:blipFill>
                    <a:blip r:embed="rId6"/>
                    <a:stretch>
                      <a:fillRect/>
                    </a:stretch>
                  </pic:blipFill>
                  <pic:spPr>
                    <a:xfrm>
                      <a:off x="0" y="0"/>
                      <a:ext cx="6034581" cy="1577668"/>
                    </a:xfrm>
                    <a:prstGeom prst="rect">
                      <a:avLst/>
                    </a:prstGeom>
                  </pic:spPr>
                </pic:pic>
              </a:graphicData>
            </a:graphic>
          </wp:inline>
        </w:drawing>
      </w:r>
    </w:p>
    <w:p w14:paraId="245964B7" w14:textId="77777777" w:rsidR="007721FD" w:rsidRDefault="007721FD" w:rsidP="007721FD">
      <w:pPr>
        <w:pStyle w:val="Default"/>
        <w:rPr>
          <w:b/>
          <w:bCs/>
          <w:color w:val="auto"/>
          <w:sz w:val="20"/>
          <w:szCs w:val="20"/>
        </w:rPr>
      </w:pPr>
    </w:p>
    <w:p w14:paraId="10562E80" w14:textId="77777777" w:rsidR="007721FD" w:rsidRDefault="007721FD" w:rsidP="007721FD">
      <w:pPr>
        <w:pStyle w:val="Default"/>
        <w:rPr>
          <w:b/>
          <w:bCs/>
          <w:color w:val="auto"/>
          <w:sz w:val="20"/>
          <w:szCs w:val="20"/>
        </w:rPr>
      </w:pPr>
    </w:p>
    <w:p w14:paraId="2BC2C849" w14:textId="116F2B92" w:rsidR="00417439" w:rsidRDefault="007721FD" w:rsidP="007721FD">
      <w:pPr>
        <w:pStyle w:val="Default"/>
        <w:rPr>
          <w:color w:val="auto"/>
          <w:sz w:val="20"/>
          <w:szCs w:val="20"/>
        </w:rPr>
      </w:pPr>
      <w:r>
        <w:rPr>
          <w:color w:val="auto"/>
          <w:sz w:val="20"/>
          <w:szCs w:val="20"/>
        </w:rPr>
        <w:t>(</w:t>
      </w:r>
      <w:r>
        <w:rPr>
          <w:b/>
          <w:bCs/>
          <w:color w:val="auto"/>
          <w:sz w:val="20"/>
          <w:szCs w:val="20"/>
        </w:rPr>
        <w:t xml:space="preserve">A) </w:t>
      </w:r>
      <w:r>
        <w:rPr>
          <w:i/>
          <w:iCs/>
          <w:color w:val="auto"/>
          <w:sz w:val="20"/>
          <w:szCs w:val="20"/>
        </w:rPr>
        <w:t xml:space="preserve">Overview schematic of the sequence-based predictive model. </w:t>
      </w:r>
      <w:r>
        <w:rPr>
          <w:color w:val="auto"/>
          <w:sz w:val="20"/>
          <w:szCs w:val="20"/>
        </w:rPr>
        <w:t>(</w:t>
      </w:r>
      <w:r>
        <w:rPr>
          <w:b/>
          <w:bCs/>
          <w:color w:val="auto"/>
          <w:sz w:val="20"/>
          <w:szCs w:val="20"/>
        </w:rPr>
        <w:t xml:space="preserve">B) </w:t>
      </w:r>
      <w:r>
        <w:rPr>
          <w:i/>
          <w:iCs/>
          <w:color w:val="auto"/>
          <w:sz w:val="20"/>
          <w:szCs w:val="20"/>
        </w:rPr>
        <w:t xml:space="preserve">Boxplots showing average performance of models to predict AS activity. </w:t>
      </w:r>
      <w:r>
        <w:rPr>
          <w:color w:val="auto"/>
          <w:sz w:val="20"/>
          <w:szCs w:val="20"/>
        </w:rPr>
        <w:t>(</w:t>
      </w:r>
      <w:r>
        <w:rPr>
          <w:b/>
          <w:bCs/>
          <w:color w:val="auto"/>
          <w:sz w:val="20"/>
          <w:szCs w:val="20"/>
        </w:rPr>
        <w:t xml:space="preserve">C) </w:t>
      </w:r>
      <w:r>
        <w:rPr>
          <w:i/>
          <w:iCs/>
          <w:color w:val="auto"/>
          <w:sz w:val="20"/>
          <w:szCs w:val="20"/>
        </w:rPr>
        <w:t xml:space="preserve">Attention patterns learned by the model. </w:t>
      </w:r>
      <w:r>
        <w:rPr>
          <w:color w:val="auto"/>
          <w:sz w:val="20"/>
          <w:szCs w:val="20"/>
        </w:rPr>
        <w:t>Those in the flanking regions of CTCF AS SNV (magenta) show strong consistency with motif enrichment (gray).</w:t>
      </w:r>
    </w:p>
    <w:p w14:paraId="488CDBB4" w14:textId="77777777" w:rsidR="007721FD" w:rsidRDefault="007721FD" w:rsidP="007721FD">
      <w:pPr>
        <w:pStyle w:val="Default"/>
        <w:rPr>
          <w:color w:val="auto"/>
          <w:sz w:val="20"/>
          <w:szCs w:val="20"/>
        </w:rPr>
      </w:pPr>
    </w:p>
    <w:p w14:paraId="54EF066B" w14:textId="77777777" w:rsidR="007721FD" w:rsidRDefault="007721FD" w:rsidP="007721FD">
      <w:pPr>
        <w:pStyle w:val="Default"/>
      </w:pPr>
    </w:p>
    <w:p w14:paraId="489C5CA1" w14:textId="5499E0E6" w:rsidR="007721FD" w:rsidRDefault="007721FD" w:rsidP="00320CC7">
      <w:pPr>
        <w:pStyle w:val="Default"/>
        <w:jc w:val="both"/>
        <w:rPr>
          <w:color w:val="202020"/>
          <w:sz w:val="22"/>
          <w:szCs w:val="22"/>
        </w:rPr>
      </w:pPr>
      <w:r w:rsidRPr="007721FD">
        <w:rPr>
          <w:b/>
          <w:bCs/>
          <w:sz w:val="22"/>
          <w:szCs w:val="22"/>
        </w:rPr>
        <w:lastRenderedPageBreak/>
        <w:t xml:space="preserve">Gerstein lab experience in </w:t>
      </w:r>
      <w:r>
        <w:rPr>
          <w:b/>
          <w:bCs/>
          <w:sz w:val="22"/>
          <w:szCs w:val="22"/>
        </w:rPr>
        <w:t>consortium work and ML/AI models</w:t>
      </w:r>
      <w:r>
        <w:rPr>
          <w:sz w:val="22"/>
          <w:szCs w:val="22"/>
        </w:rPr>
        <w:t xml:space="preserve">: </w:t>
      </w:r>
      <w:r>
        <w:rPr>
          <w:color w:val="auto"/>
          <w:sz w:val="22"/>
          <w:szCs w:val="22"/>
        </w:rPr>
        <w:t xml:space="preserve">Our teams have extensive experience working with collaborating across large consortia to develop resources for the genomics community. Notable, </w:t>
      </w:r>
      <w:r>
        <w:rPr>
          <w:color w:val="auto"/>
          <w:sz w:val="22"/>
          <w:szCs w:val="22"/>
        </w:rPr>
        <w:t>Dr.</w:t>
      </w:r>
      <w:r>
        <w:rPr>
          <w:color w:val="auto"/>
          <w:sz w:val="22"/>
          <w:szCs w:val="22"/>
        </w:rPr>
        <w:t xml:space="preserve"> Gerstein </w:t>
      </w:r>
      <w:r>
        <w:rPr>
          <w:color w:val="auto"/>
          <w:sz w:val="22"/>
          <w:szCs w:val="22"/>
        </w:rPr>
        <w:t>is a</w:t>
      </w:r>
      <w:r>
        <w:rPr>
          <w:color w:val="auto"/>
          <w:sz w:val="22"/>
          <w:szCs w:val="22"/>
        </w:rPr>
        <w:t xml:space="preserve"> member of the </w:t>
      </w:r>
      <w:proofErr w:type="gramStart"/>
      <w:r>
        <w:rPr>
          <w:color w:val="auto"/>
          <w:sz w:val="22"/>
          <w:szCs w:val="22"/>
        </w:rPr>
        <w:t>HGSVC, and</w:t>
      </w:r>
      <w:proofErr w:type="gramEnd"/>
      <w:r>
        <w:rPr>
          <w:color w:val="auto"/>
          <w:sz w:val="22"/>
          <w:szCs w:val="22"/>
        </w:rPr>
        <w:t xml:space="preserve"> </w:t>
      </w:r>
      <w:r>
        <w:rPr>
          <w:color w:val="auto"/>
          <w:sz w:val="22"/>
          <w:szCs w:val="22"/>
        </w:rPr>
        <w:t>contributed to</w:t>
      </w:r>
      <w:r>
        <w:rPr>
          <w:color w:val="auto"/>
          <w:sz w:val="22"/>
          <w:szCs w:val="22"/>
        </w:rPr>
        <w:t xml:space="preserve"> flagship HGSVC papers and separate working-group papers to produce catalogs of functional genomics elements disrupted by SVs</w:t>
      </w:r>
      <w:r>
        <w:rPr>
          <w:color w:val="auto"/>
          <w:sz w:val="13"/>
          <w:szCs w:val="13"/>
        </w:rPr>
        <w:t>48,50,51</w:t>
      </w:r>
      <w:r>
        <w:rPr>
          <w:color w:val="202020"/>
          <w:sz w:val="22"/>
          <w:szCs w:val="22"/>
        </w:rPr>
        <w:t>. Both groups are also involved in research collaborations within the 1000 Genomes Consortium</w:t>
      </w:r>
      <w:r>
        <w:rPr>
          <w:sz w:val="13"/>
          <w:szCs w:val="13"/>
        </w:rPr>
        <w:t>39,41,52–55</w:t>
      </w:r>
      <w:r>
        <w:rPr>
          <w:color w:val="202020"/>
          <w:sz w:val="22"/>
          <w:szCs w:val="22"/>
        </w:rPr>
        <w:t xml:space="preserve">. The Gerstein lab has also collaborated with computational and experimental groups across multiple consortia, including leading integrative analysis efforts for the ENCODE, </w:t>
      </w:r>
      <w:proofErr w:type="spellStart"/>
      <w:r>
        <w:rPr>
          <w:color w:val="202020"/>
          <w:sz w:val="22"/>
          <w:szCs w:val="22"/>
        </w:rPr>
        <w:t>modENCODE</w:t>
      </w:r>
      <w:proofErr w:type="spellEnd"/>
      <w:r>
        <w:rPr>
          <w:color w:val="202020"/>
          <w:sz w:val="22"/>
          <w:szCs w:val="22"/>
        </w:rPr>
        <w:t xml:space="preserve">, and </w:t>
      </w:r>
      <w:proofErr w:type="spellStart"/>
      <w:r>
        <w:rPr>
          <w:color w:val="202020"/>
          <w:sz w:val="22"/>
          <w:szCs w:val="22"/>
        </w:rPr>
        <w:t>PsychENCODE</w:t>
      </w:r>
      <w:proofErr w:type="spellEnd"/>
      <w:r>
        <w:rPr>
          <w:color w:val="202020"/>
          <w:sz w:val="22"/>
          <w:szCs w:val="22"/>
        </w:rPr>
        <w:t xml:space="preserve"> consortia</w:t>
      </w:r>
      <w:r>
        <w:rPr>
          <w:sz w:val="13"/>
          <w:szCs w:val="13"/>
        </w:rPr>
        <w:t>35,37,60–63</w:t>
      </w:r>
      <w:r>
        <w:rPr>
          <w:color w:val="202020"/>
          <w:sz w:val="22"/>
          <w:szCs w:val="22"/>
        </w:rPr>
        <w:t xml:space="preserve">. The lab is currently leading Data Coordination Centers for the </w:t>
      </w:r>
      <w:proofErr w:type="spellStart"/>
      <w:r>
        <w:rPr>
          <w:color w:val="202020"/>
          <w:sz w:val="22"/>
          <w:szCs w:val="22"/>
        </w:rPr>
        <w:t>PsychENCODE</w:t>
      </w:r>
      <w:proofErr w:type="spellEnd"/>
      <w:r>
        <w:rPr>
          <w:color w:val="202020"/>
          <w:sz w:val="22"/>
          <w:szCs w:val="22"/>
        </w:rPr>
        <w:t xml:space="preserve">, </w:t>
      </w:r>
      <w:proofErr w:type="spellStart"/>
      <w:r>
        <w:rPr>
          <w:color w:val="202020"/>
          <w:sz w:val="22"/>
          <w:szCs w:val="22"/>
        </w:rPr>
        <w:t>dGTEx</w:t>
      </w:r>
      <w:proofErr w:type="spellEnd"/>
      <w:r>
        <w:rPr>
          <w:color w:val="202020"/>
          <w:sz w:val="22"/>
          <w:szCs w:val="22"/>
        </w:rPr>
        <w:t>, SCORCH, and IGVF consortia, each of which entails standard dataset processing, developing uniform pipelines and ML/AI models to assess functional genomics data, and interfacing with the broader consortium for future tool development.</w:t>
      </w:r>
    </w:p>
    <w:p w14:paraId="1064CA5D" w14:textId="77777777" w:rsidR="007721FD" w:rsidRDefault="007721FD" w:rsidP="007721FD">
      <w:pPr>
        <w:pStyle w:val="Default"/>
        <w:rPr>
          <w:color w:val="202020"/>
          <w:sz w:val="22"/>
          <w:szCs w:val="22"/>
        </w:rPr>
      </w:pPr>
    </w:p>
    <w:p w14:paraId="68A79113" w14:textId="098F0A92" w:rsidR="007721FD" w:rsidRDefault="007721FD" w:rsidP="00320CC7">
      <w:pPr>
        <w:pStyle w:val="Default"/>
        <w:jc w:val="both"/>
        <w:rPr>
          <w:color w:val="auto"/>
          <w:sz w:val="22"/>
          <w:szCs w:val="22"/>
        </w:rPr>
      </w:pPr>
      <w:r>
        <w:rPr>
          <w:color w:val="auto"/>
          <w:sz w:val="22"/>
          <w:szCs w:val="22"/>
        </w:rPr>
        <w:t>Additionally, our teams have broad experience with implementing standardized AI/ML models for a variety of use cases, each following best-practice guidelines for model development, benchmarking, and dissemination for community use. For example, the Gerstein lab’s DECODE framework leveraged sophisticated deep-learning architectures to refine genomic annotations</w:t>
      </w:r>
      <w:r>
        <w:rPr>
          <w:color w:val="auto"/>
          <w:sz w:val="13"/>
          <w:szCs w:val="13"/>
        </w:rPr>
        <w:t xml:space="preserve">64 </w:t>
      </w:r>
      <w:r>
        <w:rPr>
          <w:color w:val="auto"/>
          <w:sz w:val="22"/>
          <w:szCs w:val="22"/>
        </w:rPr>
        <w:t xml:space="preserve">by training deep neural networks for precise enhancer prediction and localization. Additionally, we recently fine-tuned the </w:t>
      </w:r>
      <w:proofErr w:type="spellStart"/>
      <w:r>
        <w:rPr>
          <w:color w:val="auto"/>
          <w:sz w:val="22"/>
          <w:szCs w:val="22"/>
        </w:rPr>
        <w:t>ESMFold</w:t>
      </w:r>
      <w:proofErr w:type="spellEnd"/>
      <w:r>
        <w:rPr>
          <w:color w:val="auto"/>
          <w:sz w:val="22"/>
          <w:szCs w:val="22"/>
        </w:rPr>
        <w:t xml:space="preserve"> LLM</w:t>
      </w:r>
      <w:r>
        <w:rPr>
          <w:color w:val="auto"/>
          <w:sz w:val="13"/>
          <w:szCs w:val="13"/>
        </w:rPr>
        <w:t xml:space="preserve">12 </w:t>
      </w:r>
      <w:r>
        <w:rPr>
          <w:color w:val="auto"/>
          <w:sz w:val="22"/>
          <w:szCs w:val="22"/>
        </w:rPr>
        <w:t>on downstream bioinformatics tasks to predict protein phases (PPs), and demonstrated its superior performance compared to classical benchmarks such as random forest model predictions on the test set. Furthermore, our BIOCODER project showcased the effectiveness of LLMs in managing and interpreting diverse biological data formats</w:t>
      </w:r>
      <w:r>
        <w:rPr>
          <w:color w:val="auto"/>
          <w:sz w:val="13"/>
          <w:szCs w:val="13"/>
        </w:rPr>
        <w:t>65</w:t>
      </w:r>
      <w:r>
        <w:rPr>
          <w:color w:val="auto"/>
          <w:sz w:val="22"/>
          <w:szCs w:val="22"/>
        </w:rPr>
        <w:t xml:space="preserve">. We initially developed </w:t>
      </w:r>
      <w:proofErr w:type="spellStart"/>
      <w:r>
        <w:rPr>
          <w:color w:val="auto"/>
          <w:sz w:val="22"/>
          <w:szCs w:val="22"/>
        </w:rPr>
        <w:t>MolLM</w:t>
      </w:r>
      <w:proofErr w:type="spellEnd"/>
      <w:r>
        <w:rPr>
          <w:color w:val="auto"/>
          <w:sz w:val="22"/>
          <w:szCs w:val="22"/>
        </w:rPr>
        <w:t>, a pre-trained model that captures biomedical text and molecular information, enhancing performance</w:t>
      </w:r>
      <w:r>
        <w:rPr>
          <w:color w:val="auto"/>
          <w:sz w:val="13"/>
          <w:szCs w:val="13"/>
        </w:rPr>
        <w:t>66</w:t>
      </w:r>
      <w:r>
        <w:rPr>
          <w:color w:val="auto"/>
          <w:sz w:val="22"/>
          <w:szCs w:val="22"/>
        </w:rPr>
        <w:t xml:space="preserve">. We then found that </w:t>
      </w:r>
      <w:proofErr w:type="spellStart"/>
      <w:r>
        <w:rPr>
          <w:color w:val="auto"/>
          <w:sz w:val="22"/>
          <w:szCs w:val="22"/>
        </w:rPr>
        <w:t>MedAgents</w:t>
      </w:r>
      <w:proofErr w:type="spellEnd"/>
      <w:r>
        <w:rPr>
          <w:color w:val="auto"/>
          <w:sz w:val="22"/>
          <w:szCs w:val="22"/>
        </w:rPr>
        <w:t>, a multi-disciplinary collaboration framework, significantly improved LLM reasoning in medicine</w:t>
      </w:r>
      <w:proofErr w:type="gramStart"/>
      <w:r>
        <w:rPr>
          <w:color w:val="auto"/>
          <w:sz w:val="13"/>
          <w:szCs w:val="13"/>
        </w:rPr>
        <w:t xml:space="preserve">67 </w:t>
      </w:r>
      <w:r>
        <w:rPr>
          <w:color w:val="auto"/>
          <w:sz w:val="22"/>
          <w:szCs w:val="22"/>
        </w:rPr>
        <w:t>,</w:t>
      </w:r>
      <w:proofErr w:type="gramEnd"/>
      <w:r>
        <w:rPr>
          <w:color w:val="auto"/>
          <w:sz w:val="22"/>
          <w:szCs w:val="22"/>
        </w:rPr>
        <w:t xml:space="preserve"> and ML-Bench demonstrated LLMs' ability to utilize open-source libraries</w:t>
      </w:r>
      <w:r>
        <w:rPr>
          <w:color w:val="auto"/>
          <w:sz w:val="13"/>
          <w:szCs w:val="13"/>
        </w:rPr>
        <w:t>68</w:t>
      </w:r>
      <w:r>
        <w:rPr>
          <w:color w:val="auto"/>
          <w:sz w:val="22"/>
          <w:szCs w:val="22"/>
        </w:rPr>
        <w:t>. Additionally, our structure-aware fine-tuning improved LLMs' capability to generate complex structured data</w:t>
      </w:r>
      <w:proofErr w:type="gramStart"/>
      <w:r>
        <w:rPr>
          <w:color w:val="auto"/>
          <w:sz w:val="13"/>
          <w:szCs w:val="13"/>
        </w:rPr>
        <w:t xml:space="preserve">69 </w:t>
      </w:r>
      <w:r>
        <w:rPr>
          <w:color w:val="auto"/>
          <w:sz w:val="22"/>
          <w:szCs w:val="22"/>
        </w:rPr>
        <w:t>,</w:t>
      </w:r>
      <w:proofErr w:type="gramEnd"/>
      <w:r>
        <w:rPr>
          <w:color w:val="auto"/>
          <w:sz w:val="22"/>
          <w:szCs w:val="22"/>
        </w:rPr>
        <w:t xml:space="preserve"> and the </w:t>
      </w:r>
      <w:proofErr w:type="spellStart"/>
      <w:r>
        <w:rPr>
          <w:color w:val="auto"/>
          <w:sz w:val="22"/>
          <w:szCs w:val="22"/>
        </w:rPr>
        <w:t>BioCoder</w:t>
      </w:r>
      <w:proofErr w:type="spellEnd"/>
      <w:r>
        <w:rPr>
          <w:color w:val="auto"/>
          <w:sz w:val="22"/>
          <w:szCs w:val="22"/>
        </w:rPr>
        <w:t xml:space="preserve"> benchmark illustrated our proficiency in bioinformatics coding and domain-specific challenges</w:t>
      </w:r>
      <w:r>
        <w:rPr>
          <w:color w:val="auto"/>
          <w:sz w:val="13"/>
          <w:szCs w:val="13"/>
        </w:rPr>
        <w:t>65</w:t>
      </w:r>
      <w:r>
        <w:rPr>
          <w:color w:val="auto"/>
          <w:sz w:val="22"/>
          <w:szCs w:val="22"/>
        </w:rPr>
        <w:t>. Finally, we fine-tuned an LLM to predict protein phase transitions, showing superior performance and interpretability, particularly for Alzheimer’s disease-related proteins</w:t>
      </w:r>
      <w:r>
        <w:rPr>
          <w:color w:val="auto"/>
          <w:sz w:val="13"/>
          <w:szCs w:val="13"/>
        </w:rPr>
        <w:t>70</w:t>
      </w:r>
      <w:r>
        <w:rPr>
          <w:color w:val="auto"/>
          <w:sz w:val="22"/>
          <w:szCs w:val="22"/>
        </w:rPr>
        <w:t>.</w:t>
      </w:r>
    </w:p>
    <w:p w14:paraId="14DA3446" w14:textId="77777777" w:rsidR="007721FD" w:rsidRDefault="007721FD" w:rsidP="007721FD">
      <w:pPr>
        <w:pStyle w:val="Default"/>
        <w:rPr>
          <w:color w:val="auto"/>
          <w:sz w:val="22"/>
          <w:szCs w:val="22"/>
        </w:rPr>
      </w:pPr>
    </w:p>
    <w:p w14:paraId="52A80E24" w14:textId="77777777" w:rsidR="007721FD" w:rsidRDefault="007721FD" w:rsidP="007721FD">
      <w:pPr>
        <w:pStyle w:val="Default"/>
      </w:pPr>
    </w:p>
    <w:p w14:paraId="27451527" w14:textId="134584EC" w:rsidR="007721FD" w:rsidRPr="007721FD" w:rsidRDefault="007721FD" w:rsidP="007721FD">
      <w:pPr>
        <w:pStyle w:val="Default"/>
        <w:rPr>
          <w:b/>
          <w:bCs/>
        </w:rPr>
      </w:pPr>
      <w:r w:rsidRPr="007721FD">
        <w:rPr>
          <w:b/>
          <w:bCs/>
        </w:rPr>
        <w:t>REFERENCES</w:t>
      </w:r>
    </w:p>
    <w:p w14:paraId="65EA3E57" w14:textId="05446508" w:rsidR="007721FD" w:rsidRDefault="007721FD" w:rsidP="007721FD">
      <w:pPr>
        <w:pStyle w:val="Default"/>
        <w:rPr>
          <w:color w:val="auto"/>
          <w:sz w:val="22"/>
          <w:szCs w:val="22"/>
        </w:rPr>
      </w:pPr>
      <w:r w:rsidRPr="007721FD">
        <w:rPr>
          <w:color w:val="auto"/>
          <w:sz w:val="22"/>
          <w:szCs w:val="22"/>
        </w:rPr>
        <w:t xml:space="preserve">2 Ji Y, Zhou Z, Liu H, Davuluri RV. DNABERT: pre-trained Bidirectional Encoder Representations from Transformers model for DNA-language in genome. Bioinformatics </w:t>
      </w:r>
      <w:proofErr w:type="gramStart"/>
      <w:r w:rsidRPr="007721FD">
        <w:rPr>
          <w:color w:val="auto"/>
          <w:sz w:val="22"/>
          <w:szCs w:val="22"/>
        </w:rPr>
        <w:t>2021;37:2112</w:t>
      </w:r>
      <w:proofErr w:type="gramEnd"/>
      <w:r w:rsidRPr="007721FD">
        <w:rPr>
          <w:color w:val="auto"/>
          <w:sz w:val="22"/>
          <w:szCs w:val="22"/>
        </w:rPr>
        <w:t>–20.</w:t>
      </w:r>
    </w:p>
    <w:p w14:paraId="198C904A" w14:textId="77777777" w:rsidR="00320CC7" w:rsidRDefault="00320CC7" w:rsidP="007721FD">
      <w:pPr>
        <w:pStyle w:val="Default"/>
        <w:rPr>
          <w:color w:val="auto"/>
          <w:sz w:val="22"/>
          <w:szCs w:val="22"/>
        </w:rPr>
      </w:pPr>
    </w:p>
    <w:p w14:paraId="7BC7E4DE" w14:textId="64FB3247" w:rsidR="007721FD" w:rsidRDefault="007721FD" w:rsidP="007721FD">
      <w:pPr>
        <w:pStyle w:val="Default"/>
        <w:rPr>
          <w:color w:val="auto"/>
          <w:sz w:val="22"/>
          <w:szCs w:val="22"/>
        </w:rPr>
      </w:pPr>
      <w:r>
        <w:rPr>
          <w:color w:val="auto"/>
          <w:sz w:val="22"/>
          <w:szCs w:val="22"/>
        </w:rPr>
        <w:t xml:space="preserve">12 Lin Z, Akin H, Rao R, Hie B, Zhu Z, Lu W, </w:t>
      </w:r>
      <w:r>
        <w:rPr>
          <w:i/>
          <w:iCs/>
          <w:color w:val="auto"/>
          <w:sz w:val="22"/>
          <w:szCs w:val="22"/>
        </w:rPr>
        <w:t xml:space="preserve">et al. </w:t>
      </w:r>
      <w:r>
        <w:rPr>
          <w:color w:val="auto"/>
          <w:sz w:val="22"/>
          <w:szCs w:val="22"/>
        </w:rPr>
        <w:t xml:space="preserve">Evolutionary-scale prediction of atomic-level protein structure with a language model. </w:t>
      </w:r>
      <w:r>
        <w:rPr>
          <w:i/>
          <w:iCs/>
          <w:color w:val="auto"/>
          <w:sz w:val="22"/>
          <w:szCs w:val="22"/>
        </w:rPr>
        <w:t xml:space="preserve">Science </w:t>
      </w:r>
      <w:r>
        <w:rPr>
          <w:color w:val="auto"/>
          <w:sz w:val="22"/>
          <w:szCs w:val="22"/>
        </w:rPr>
        <w:t xml:space="preserve">2023. </w:t>
      </w:r>
      <w:hyperlink r:id="rId7" w:history="1">
        <w:r w:rsidR="00320CC7" w:rsidRPr="00F61221">
          <w:rPr>
            <w:rStyle w:val="Hyperlink"/>
            <w:sz w:val="22"/>
            <w:szCs w:val="22"/>
          </w:rPr>
          <w:t>https://doi.org/10.1126/science.ade2574</w:t>
        </w:r>
      </w:hyperlink>
      <w:r>
        <w:rPr>
          <w:color w:val="auto"/>
          <w:sz w:val="22"/>
          <w:szCs w:val="22"/>
        </w:rPr>
        <w:t>.</w:t>
      </w:r>
    </w:p>
    <w:p w14:paraId="41E65BE5" w14:textId="77777777" w:rsidR="00320CC7" w:rsidRDefault="00320CC7" w:rsidP="007721FD">
      <w:pPr>
        <w:pStyle w:val="Default"/>
        <w:rPr>
          <w:color w:val="auto"/>
          <w:sz w:val="22"/>
          <w:szCs w:val="22"/>
        </w:rPr>
      </w:pPr>
    </w:p>
    <w:p w14:paraId="3E724BA1" w14:textId="5A1A62A5" w:rsidR="007721FD" w:rsidRDefault="007721FD" w:rsidP="007721FD">
      <w:pPr>
        <w:pStyle w:val="Default"/>
        <w:rPr>
          <w:color w:val="auto"/>
          <w:sz w:val="22"/>
          <w:szCs w:val="22"/>
        </w:rPr>
      </w:pPr>
      <w:r w:rsidRPr="007721FD">
        <w:rPr>
          <w:color w:val="auto"/>
          <w:sz w:val="22"/>
          <w:szCs w:val="22"/>
        </w:rPr>
        <w:t xml:space="preserve">25 </w:t>
      </w:r>
      <w:proofErr w:type="spellStart"/>
      <w:r w:rsidRPr="007721FD">
        <w:rPr>
          <w:color w:val="auto"/>
          <w:sz w:val="22"/>
          <w:szCs w:val="22"/>
        </w:rPr>
        <w:t>Rozowsky</w:t>
      </w:r>
      <w:proofErr w:type="spellEnd"/>
      <w:r w:rsidRPr="007721FD">
        <w:rPr>
          <w:color w:val="auto"/>
          <w:sz w:val="22"/>
          <w:szCs w:val="22"/>
        </w:rPr>
        <w:t xml:space="preserve"> J, Gao J, Borsari B, Yang YT, </w:t>
      </w:r>
      <w:proofErr w:type="spellStart"/>
      <w:r w:rsidRPr="007721FD">
        <w:rPr>
          <w:color w:val="auto"/>
          <w:sz w:val="22"/>
          <w:szCs w:val="22"/>
        </w:rPr>
        <w:t>Galeev</w:t>
      </w:r>
      <w:proofErr w:type="spellEnd"/>
      <w:r w:rsidRPr="007721FD">
        <w:rPr>
          <w:color w:val="auto"/>
          <w:sz w:val="22"/>
          <w:szCs w:val="22"/>
        </w:rPr>
        <w:t xml:space="preserve"> T, </w:t>
      </w:r>
      <w:proofErr w:type="spellStart"/>
      <w:r w:rsidRPr="007721FD">
        <w:rPr>
          <w:color w:val="auto"/>
          <w:sz w:val="22"/>
          <w:szCs w:val="22"/>
        </w:rPr>
        <w:t>Gürsoy</w:t>
      </w:r>
      <w:proofErr w:type="spellEnd"/>
      <w:r w:rsidRPr="007721FD">
        <w:rPr>
          <w:color w:val="auto"/>
          <w:sz w:val="22"/>
          <w:szCs w:val="22"/>
        </w:rPr>
        <w:t xml:space="preserve"> G, et al. The EN-</w:t>
      </w:r>
      <w:proofErr w:type="spellStart"/>
      <w:r w:rsidRPr="007721FD">
        <w:rPr>
          <w:color w:val="auto"/>
          <w:sz w:val="22"/>
          <w:szCs w:val="22"/>
        </w:rPr>
        <w:t>TEx</w:t>
      </w:r>
      <w:proofErr w:type="spellEnd"/>
      <w:r w:rsidRPr="007721FD">
        <w:rPr>
          <w:color w:val="auto"/>
          <w:sz w:val="22"/>
          <w:szCs w:val="22"/>
        </w:rPr>
        <w:t xml:space="preserve"> resource of multi-tissue personal epigenomes &amp; variant-impact models. Cell </w:t>
      </w:r>
      <w:proofErr w:type="gramStart"/>
      <w:r w:rsidRPr="007721FD">
        <w:rPr>
          <w:color w:val="auto"/>
          <w:sz w:val="22"/>
          <w:szCs w:val="22"/>
        </w:rPr>
        <w:t>2023;186:1493</w:t>
      </w:r>
      <w:proofErr w:type="gramEnd"/>
      <w:r w:rsidRPr="007721FD">
        <w:rPr>
          <w:color w:val="auto"/>
          <w:sz w:val="22"/>
          <w:szCs w:val="22"/>
        </w:rPr>
        <w:t>–511.e40.</w:t>
      </w:r>
    </w:p>
    <w:p w14:paraId="00CC0F72" w14:textId="77777777" w:rsidR="00320CC7" w:rsidRDefault="00320CC7" w:rsidP="007721FD">
      <w:pPr>
        <w:pStyle w:val="Default"/>
        <w:rPr>
          <w:color w:val="auto"/>
          <w:sz w:val="22"/>
          <w:szCs w:val="22"/>
        </w:rPr>
      </w:pPr>
    </w:p>
    <w:p w14:paraId="6A7A835B" w14:textId="08D3BFD0" w:rsidR="007721FD" w:rsidRDefault="007721FD" w:rsidP="007721FD">
      <w:pPr>
        <w:pStyle w:val="Default"/>
        <w:rPr>
          <w:color w:val="auto"/>
          <w:sz w:val="22"/>
          <w:szCs w:val="22"/>
        </w:rPr>
      </w:pPr>
      <w:r w:rsidRPr="007721FD">
        <w:rPr>
          <w:color w:val="auto"/>
          <w:sz w:val="22"/>
          <w:szCs w:val="22"/>
        </w:rPr>
        <w:t xml:space="preserve">27 ENCODE Project Consortium, Moore JE, </w:t>
      </w:r>
      <w:proofErr w:type="spellStart"/>
      <w:r w:rsidRPr="007721FD">
        <w:rPr>
          <w:color w:val="auto"/>
          <w:sz w:val="22"/>
          <w:szCs w:val="22"/>
        </w:rPr>
        <w:t>Purcaro</w:t>
      </w:r>
      <w:proofErr w:type="spellEnd"/>
      <w:r w:rsidRPr="007721FD">
        <w:rPr>
          <w:color w:val="auto"/>
          <w:sz w:val="22"/>
          <w:szCs w:val="22"/>
        </w:rPr>
        <w:t xml:space="preserve"> MJ, Pratt HE, Epstein CB, Shoresh N, et al. Expanded </w:t>
      </w:r>
      <w:proofErr w:type="spellStart"/>
      <w:r w:rsidRPr="007721FD">
        <w:rPr>
          <w:color w:val="auto"/>
          <w:sz w:val="22"/>
          <w:szCs w:val="22"/>
        </w:rPr>
        <w:t>encyclopaedias</w:t>
      </w:r>
      <w:proofErr w:type="spellEnd"/>
      <w:r w:rsidRPr="007721FD">
        <w:rPr>
          <w:color w:val="auto"/>
          <w:sz w:val="22"/>
          <w:szCs w:val="22"/>
        </w:rPr>
        <w:t xml:space="preserve"> of DNA elements in the human and mouse genomes. Nature </w:t>
      </w:r>
      <w:proofErr w:type="gramStart"/>
      <w:r w:rsidRPr="007721FD">
        <w:rPr>
          <w:color w:val="auto"/>
          <w:sz w:val="22"/>
          <w:szCs w:val="22"/>
        </w:rPr>
        <w:t>2020;583:699</w:t>
      </w:r>
      <w:proofErr w:type="gramEnd"/>
      <w:r w:rsidRPr="007721FD">
        <w:rPr>
          <w:color w:val="auto"/>
          <w:sz w:val="22"/>
          <w:szCs w:val="22"/>
        </w:rPr>
        <w:t>–710.</w:t>
      </w:r>
    </w:p>
    <w:p w14:paraId="59E16127" w14:textId="77777777" w:rsidR="00320CC7" w:rsidRDefault="00320CC7" w:rsidP="007721FD">
      <w:pPr>
        <w:pStyle w:val="Default"/>
        <w:rPr>
          <w:color w:val="auto"/>
          <w:sz w:val="22"/>
          <w:szCs w:val="22"/>
        </w:rPr>
      </w:pPr>
    </w:p>
    <w:p w14:paraId="662BB7B0" w14:textId="7B042E8B" w:rsidR="007721FD" w:rsidRDefault="007721FD" w:rsidP="007721FD">
      <w:pPr>
        <w:pStyle w:val="Default"/>
        <w:rPr>
          <w:color w:val="auto"/>
          <w:sz w:val="22"/>
          <w:szCs w:val="22"/>
        </w:rPr>
      </w:pPr>
      <w:r w:rsidRPr="007721FD">
        <w:rPr>
          <w:color w:val="auto"/>
          <w:sz w:val="22"/>
          <w:szCs w:val="22"/>
        </w:rPr>
        <w:t xml:space="preserve">35 Emani PS, Liu JJ, Clarke D, Jensen M, </w:t>
      </w:r>
      <w:proofErr w:type="spellStart"/>
      <w:r w:rsidRPr="007721FD">
        <w:rPr>
          <w:color w:val="auto"/>
          <w:sz w:val="22"/>
          <w:szCs w:val="22"/>
        </w:rPr>
        <w:t>Warrell</w:t>
      </w:r>
      <w:proofErr w:type="spellEnd"/>
      <w:r w:rsidRPr="007721FD">
        <w:rPr>
          <w:color w:val="auto"/>
          <w:sz w:val="22"/>
          <w:szCs w:val="22"/>
        </w:rPr>
        <w:t xml:space="preserve"> J, Gupta C, et al. Single-cell genomics and regulatory networks for 388 human brains. Science 2024;</w:t>
      </w:r>
      <w:proofErr w:type="gramStart"/>
      <w:r w:rsidRPr="007721FD">
        <w:rPr>
          <w:color w:val="auto"/>
          <w:sz w:val="22"/>
          <w:szCs w:val="22"/>
        </w:rPr>
        <w:t>384:eadi</w:t>
      </w:r>
      <w:proofErr w:type="gramEnd"/>
      <w:r w:rsidRPr="007721FD">
        <w:rPr>
          <w:color w:val="auto"/>
          <w:sz w:val="22"/>
          <w:szCs w:val="22"/>
        </w:rPr>
        <w:t>5199.</w:t>
      </w:r>
    </w:p>
    <w:p w14:paraId="10D3D377" w14:textId="77777777" w:rsidR="00320CC7" w:rsidRPr="007721FD" w:rsidRDefault="00320CC7" w:rsidP="007721FD">
      <w:pPr>
        <w:pStyle w:val="Default"/>
        <w:rPr>
          <w:color w:val="auto"/>
          <w:sz w:val="22"/>
          <w:szCs w:val="22"/>
        </w:rPr>
      </w:pPr>
    </w:p>
    <w:p w14:paraId="3632C9FB" w14:textId="77777777" w:rsidR="007721FD" w:rsidRDefault="007721FD" w:rsidP="007721FD">
      <w:pPr>
        <w:pStyle w:val="Default"/>
        <w:rPr>
          <w:color w:val="auto"/>
          <w:sz w:val="22"/>
          <w:szCs w:val="22"/>
        </w:rPr>
      </w:pPr>
      <w:r w:rsidRPr="007721FD">
        <w:rPr>
          <w:color w:val="auto"/>
          <w:sz w:val="22"/>
          <w:szCs w:val="22"/>
        </w:rPr>
        <w:lastRenderedPageBreak/>
        <w:t xml:space="preserve">36 </w:t>
      </w:r>
      <w:proofErr w:type="spellStart"/>
      <w:r w:rsidRPr="007721FD">
        <w:rPr>
          <w:color w:val="auto"/>
          <w:sz w:val="22"/>
          <w:szCs w:val="22"/>
        </w:rPr>
        <w:t>PsychENCODE</w:t>
      </w:r>
      <w:proofErr w:type="spellEnd"/>
      <w:r w:rsidRPr="007721FD">
        <w:rPr>
          <w:color w:val="auto"/>
          <w:sz w:val="22"/>
          <w:szCs w:val="22"/>
        </w:rPr>
        <w:t xml:space="preserve"> Consortium, </w:t>
      </w:r>
      <w:proofErr w:type="spellStart"/>
      <w:r w:rsidRPr="007721FD">
        <w:rPr>
          <w:color w:val="auto"/>
          <w:sz w:val="22"/>
          <w:szCs w:val="22"/>
        </w:rPr>
        <w:t>Akbarian</w:t>
      </w:r>
      <w:proofErr w:type="spellEnd"/>
      <w:r w:rsidRPr="007721FD">
        <w:rPr>
          <w:color w:val="auto"/>
          <w:sz w:val="22"/>
          <w:szCs w:val="22"/>
        </w:rPr>
        <w:t xml:space="preserve"> S, Liu C, Knowles JA, </w:t>
      </w:r>
      <w:proofErr w:type="spellStart"/>
      <w:r w:rsidRPr="007721FD">
        <w:rPr>
          <w:color w:val="auto"/>
          <w:sz w:val="22"/>
          <w:szCs w:val="22"/>
        </w:rPr>
        <w:t>Vaccarino</w:t>
      </w:r>
      <w:proofErr w:type="spellEnd"/>
      <w:r w:rsidRPr="007721FD">
        <w:rPr>
          <w:color w:val="auto"/>
          <w:sz w:val="22"/>
          <w:szCs w:val="22"/>
        </w:rPr>
        <w:t xml:space="preserve"> FM, Farnham PJ, et al. The </w:t>
      </w:r>
      <w:proofErr w:type="spellStart"/>
      <w:r w:rsidRPr="007721FD">
        <w:rPr>
          <w:color w:val="auto"/>
          <w:sz w:val="22"/>
          <w:szCs w:val="22"/>
        </w:rPr>
        <w:t>PsychENCODE</w:t>
      </w:r>
      <w:proofErr w:type="spellEnd"/>
      <w:r w:rsidRPr="007721FD">
        <w:rPr>
          <w:color w:val="auto"/>
          <w:sz w:val="22"/>
          <w:szCs w:val="22"/>
        </w:rPr>
        <w:t xml:space="preserve"> project. Nat </w:t>
      </w:r>
      <w:proofErr w:type="spellStart"/>
      <w:r w:rsidRPr="007721FD">
        <w:rPr>
          <w:color w:val="auto"/>
          <w:sz w:val="22"/>
          <w:szCs w:val="22"/>
        </w:rPr>
        <w:t>Neurosci</w:t>
      </w:r>
      <w:proofErr w:type="spellEnd"/>
      <w:r w:rsidRPr="007721FD">
        <w:rPr>
          <w:color w:val="auto"/>
          <w:sz w:val="22"/>
          <w:szCs w:val="22"/>
        </w:rPr>
        <w:t xml:space="preserve"> </w:t>
      </w:r>
      <w:proofErr w:type="gramStart"/>
      <w:r w:rsidRPr="007721FD">
        <w:rPr>
          <w:color w:val="auto"/>
          <w:sz w:val="22"/>
          <w:szCs w:val="22"/>
        </w:rPr>
        <w:t>2015;18:1707</w:t>
      </w:r>
      <w:proofErr w:type="gramEnd"/>
      <w:r w:rsidRPr="007721FD">
        <w:rPr>
          <w:color w:val="auto"/>
          <w:sz w:val="22"/>
          <w:szCs w:val="22"/>
        </w:rPr>
        <w:t>–12.</w:t>
      </w:r>
    </w:p>
    <w:p w14:paraId="02E60BAC" w14:textId="77777777" w:rsidR="00320CC7" w:rsidRPr="007721FD" w:rsidRDefault="00320CC7" w:rsidP="007721FD">
      <w:pPr>
        <w:pStyle w:val="Default"/>
        <w:rPr>
          <w:color w:val="auto"/>
          <w:sz w:val="22"/>
          <w:szCs w:val="22"/>
        </w:rPr>
      </w:pPr>
    </w:p>
    <w:p w14:paraId="7FE506C7" w14:textId="77777777" w:rsidR="00320CC7" w:rsidRDefault="007721FD" w:rsidP="007721FD">
      <w:pPr>
        <w:pStyle w:val="Default"/>
        <w:rPr>
          <w:color w:val="auto"/>
          <w:sz w:val="22"/>
          <w:szCs w:val="22"/>
        </w:rPr>
      </w:pPr>
      <w:r w:rsidRPr="007721FD">
        <w:rPr>
          <w:color w:val="auto"/>
          <w:sz w:val="22"/>
          <w:szCs w:val="22"/>
        </w:rPr>
        <w:t xml:space="preserve">37 Gerstein MB, Lu ZJ, Van Nostrand EL, Cheng C, </w:t>
      </w:r>
      <w:proofErr w:type="spellStart"/>
      <w:r w:rsidRPr="007721FD">
        <w:rPr>
          <w:color w:val="auto"/>
          <w:sz w:val="22"/>
          <w:szCs w:val="22"/>
        </w:rPr>
        <w:t>Arshinoff</w:t>
      </w:r>
      <w:proofErr w:type="spellEnd"/>
      <w:r w:rsidRPr="007721FD">
        <w:rPr>
          <w:color w:val="auto"/>
          <w:sz w:val="22"/>
          <w:szCs w:val="22"/>
        </w:rPr>
        <w:t xml:space="preserve"> BI, Liu T, et al. Integrative analysis of the Caenorhabditis elegans genome by the </w:t>
      </w:r>
      <w:proofErr w:type="spellStart"/>
      <w:r w:rsidRPr="007721FD">
        <w:rPr>
          <w:color w:val="auto"/>
          <w:sz w:val="22"/>
          <w:szCs w:val="22"/>
        </w:rPr>
        <w:t>modENCODE</w:t>
      </w:r>
      <w:proofErr w:type="spellEnd"/>
      <w:r w:rsidRPr="007721FD">
        <w:rPr>
          <w:color w:val="auto"/>
          <w:sz w:val="22"/>
          <w:szCs w:val="22"/>
        </w:rPr>
        <w:t xml:space="preserve"> project. Science </w:t>
      </w:r>
      <w:proofErr w:type="gramStart"/>
      <w:r w:rsidRPr="007721FD">
        <w:rPr>
          <w:color w:val="auto"/>
          <w:sz w:val="22"/>
          <w:szCs w:val="22"/>
        </w:rPr>
        <w:t>2010;330:1775</w:t>
      </w:r>
      <w:proofErr w:type="gramEnd"/>
      <w:r w:rsidRPr="007721FD">
        <w:rPr>
          <w:color w:val="auto"/>
          <w:sz w:val="22"/>
          <w:szCs w:val="22"/>
        </w:rPr>
        <w:t>–87.</w:t>
      </w:r>
    </w:p>
    <w:p w14:paraId="5EB9B04B" w14:textId="4E5A791C" w:rsidR="007721FD" w:rsidRDefault="007721FD" w:rsidP="007721FD">
      <w:pPr>
        <w:pStyle w:val="Default"/>
        <w:rPr>
          <w:color w:val="auto"/>
          <w:sz w:val="22"/>
          <w:szCs w:val="22"/>
        </w:rPr>
      </w:pPr>
      <w:r>
        <w:rPr>
          <w:color w:val="auto"/>
          <w:sz w:val="22"/>
          <w:szCs w:val="22"/>
        </w:rPr>
        <w:br/>
      </w:r>
      <w:r w:rsidRPr="007721FD">
        <w:rPr>
          <w:color w:val="auto"/>
          <w:sz w:val="22"/>
          <w:szCs w:val="22"/>
        </w:rPr>
        <w:t xml:space="preserve">38 Frankish A, </w:t>
      </w:r>
      <w:proofErr w:type="spellStart"/>
      <w:r w:rsidRPr="007721FD">
        <w:rPr>
          <w:color w:val="auto"/>
          <w:sz w:val="22"/>
          <w:szCs w:val="22"/>
        </w:rPr>
        <w:t>Diekhans</w:t>
      </w:r>
      <w:proofErr w:type="spellEnd"/>
      <w:r w:rsidRPr="007721FD">
        <w:rPr>
          <w:color w:val="auto"/>
          <w:sz w:val="22"/>
          <w:szCs w:val="22"/>
        </w:rPr>
        <w:t xml:space="preserve"> M, Ferreira A-M, Johnson R, Jungreis I, Loveland J, et al. GENCODE reference annotation for the human and mouse genomes. Nucleic Acids Res 2019;</w:t>
      </w:r>
      <w:proofErr w:type="gramStart"/>
      <w:r w:rsidRPr="007721FD">
        <w:rPr>
          <w:color w:val="auto"/>
          <w:sz w:val="22"/>
          <w:szCs w:val="22"/>
        </w:rPr>
        <w:t>47:D</w:t>
      </w:r>
      <w:proofErr w:type="gramEnd"/>
      <w:r w:rsidRPr="007721FD">
        <w:rPr>
          <w:color w:val="auto"/>
          <w:sz w:val="22"/>
          <w:szCs w:val="22"/>
        </w:rPr>
        <w:t>766–73.</w:t>
      </w:r>
    </w:p>
    <w:p w14:paraId="513EE11B" w14:textId="77777777" w:rsidR="00320CC7" w:rsidRDefault="00320CC7" w:rsidP="007721FD">
      <w:pPr>
        <w:pStyle w:val="Default"/>
        <w:rPr>
          <w:color w:val="auto"/>
          <w:sz w:val="22"/>
          <w:szCs w:val="22"/>
        </w:rPr>
      </w:pPr>
    </w:p>
    <w:p w14:paraId="143351A0" w14:textId="116805F8" w:rsidR="007721FD" w:rsidRDefault="007721FD" w:rsidP="007721FD">
      <w:pPr>
        <w:pStyle w:val="Default"/>
        <w:rPr>
          <w:color w:val="auto"/>
          <w:sz w:val="22"/>
          <w:szCs w:val="22"/>
        </w:rPr>
      </w:pPr>
      <w:r>
        <w:rPr>
          <w:color w:val="auto"/>
          <w:sz w:val="22"/>
          <w:szCs w:val="22"/>
        </w:rPr>
        <w:t xml:space="preserve">39 </w:t>
      </w:r>
      <w:proofErr w:type="spellStart"/>
      <w:r>
        <w:rPr>
          <w:color w:val="auto"/>
          <w:sz w:val="22"/>
          <w:szCs w:val="22"/>
        </w:rPr>
        <w:t>Sudmant</w:t>
      </w:r>
      <w:proofErr w:type="spellEnd"/>
      <w:r>
        <w:rPr>
          <w:color w:val="auto"/>
          <w:sz w:val="22"/>
          <w:szCs w:val="22"/>
        </w:rPr>
        <w:t xml:space="preserve"> PH, Rausch T, Gardner EJ, </w:t>
      </w:r>
      <w:proofErr w:type="spellStart"/>
      <w:r>
        <w:rPr>
          <w:color w:val="auto"/>
          <w:sz w:val="22"/>
          <w:szCs w:val="22"/>
        </w:rPr>
        <w:t>Handsaker</w:t>
      </w:r>
      <w:proofErr w:type="spellEnd"/>
      <w:r>
        <w:rPr>
          <w:color w:val="auto"/>
          <w:sz w:val="22"/>
          <w:szCs w:val="22"/>
        </w:rPr>
        <w:t xml:space="preserve"> RE, </w:t>
      </w:r>
      <w:proofErr w:type="spellStart"/>
      <w:r>
        <w:rPr>
          <w:color w:val="auto"/>
          <w:sz w:val="22"/>
          <w:szCs w:val="22"/>
        </w:rPr>
        <w:t>Abyzov</w:t>
      </w:r>
      <w:proofErr w:type="spellEnd"/>
      <w:r>
        <w:rPr>
          <w:color w:val="auto"/>
          <w:sz w:val="22"/>
          <w:szCs w:val="22"/>
        </w:rPr>
        <w:t xml:space="preserve"> A, Huddleston J, </w:t>
      </w:r>
      <w:r>
        <w:rPr>
          <w:i/>
          <w:iCs/>
          <w:color w:val="auto"/>
          <w:sz w:val="22"/>
          <w:szCs w:val="22"/>
        </w:rPr>
        <w:t xml:space="preserve">et al. </w:t>
      </w:r>
      <w:r>
        <w:rPr>
          <w:color w:val="auto"/>
          <w:sz w:val="22"/>
          <w:szCs w:val="22"/>
        </w:rPr>
        <w:t xml:space="preserve">An integrated map of structural variation in 2,504 human genomes. </w:t>
      </w:r>
      <w:r>
        <w:rPr>
          <w:i/>
          <w:iCs/>
          <w:color w:val="auto"/>
          <w:sz w:val="22"/>
          <w:szCs w:val="22"/>
        </w:rPr>
        <w:t xml:space="preserve">Nature </w:t>
      </w:r>
      <w:proofErr w:type="gramStart"/>
      <w:r>
        <w:rPr>
          <w:color w:val="auto"/>
          <w:sz w:val="22"/>
          <w:szCs w:val="22"/>
        </w:rPr>
        <w:t>2015;</w:t>
      </w:r>
      <w:r>
        <w:rPr>
          <w:b/>
          <w:bCs/>
          <w:color w:val="auto"/>
          <w:sz w:val="22"/>
          <w:szCs w:val="22"/>
        </w:rPr>
        <w:t>526</w:t>
      </w:r>
      <w:r>
        <w:rPr>
          <w:color w:val="auto"/>
          <w:sz w:val="22"/>
          <w:szCs w:val="22"/>
        </w:rPr>
        <w:t>:75</w:t>
      </w:r>
      <w:proofErr w:type="gramEnd"/>
      <w:r>
        <w:rPr>
          <w:color w:val="auto"/>
          <w:sz w:val="22"/>
          <w:szCs w:val="22"/>
        </w:rPr>
        <w:t xml:space="preserve">–81. </w:t>
      </w:r>
    </w:p>
    <w:p w14:paraId="0A774CD0" w14:textId="77777777" w:rsidR="00320CC7" w:rsidRDefault="00320CC7" w:rsidP="007721FD">
      <w:pPr>
        <w:pStyle w:val="Default"/>
        <w:rPr>
          <w:color w:val="auto"/>
          <w:sz w:val="22"/>
          <w:szCs w:val="22"/>
        </w:rPr>
      </w:pPr>
    </w:p>
    <w:p w14:paraId="4618B345" w14:textId="2BE4A4A5" w:rsidR="007721FD" w:rsidRDefault="007721FD" w:rsidP="007721FD">
      <w:pPr>
        <w:pStyle w:val="Default"/>
        <w:rPr>
          <w:color w:val="auto"/>
          <w:sz w:val="22"/>
          <w:szCs w:val="22"/>
        </w:rPr>
      </w:pPr>
      <w:r>
        <w:rPr>
          <w:color w:val="auto"/>
          <w:sz w:val="22"/>
          <w:szCs w:val="22"/>
        </w:rPr>
        <w:t xml:space="preserve">40 Khurana E, Fu Y, Colonna V, Mu XJ, Kang HM, </w:t>
      </w:r>
      <w:proofErr w:type="spellStart"/>
      <w:r>
        <w:rPr>
          <w:color w:val="auto"/>
          <w:sz w:val="22"/>
          <w:szCs w:val="22"/>
        </w:rPr>
        <w:t>Lappalainen</w:t>
      </w:r>
      <w:proofErr w:type="spellEnd"/>
      <w:r>
        <w:rPr>
          <w:color w:val="auto"/>
          <w:sz w:val="22"/>
          <w:szCs w:val="22"/>
        </w:rPr>
        <w:t xml:space="preserve"> T, </w:t>
      </w:r>
      <w:r>
        <w:rPr>
          <w:i/>
          <w:iCs/>
          <w:color w:val="auto"/>
          <w:sz w:val="22"/>
          <w:szCs w:val="22"/>
        </w:rPr>
        <w:t xml:space="preserve">et al. </w:t>
      </w:r>
      <w:r>
        <w:rPr>
          <w:color w:val="auto"/>
          <w:sz w:val="22"/>
          <w:szCs w:val="22"/>
        </w:rPr>
        <w:t xml:space="preserve">Integrative Annotation of Variants from 1092 Humans: Application to Cancer Genomics. </w:t>
      </w:r>
      <w:r>
        <w:rPr>
          <w:i/>
          <w:iCs/>
          <w:color w:val="auto"/>
          <w:sz w:val="22"/>
          <w:szCs w:val="22"/>
        </w:rPr>
        <w:t xml:space="preserve">Science </w:t>
      </w:r>
      <w:proofErr w:type="gramStart"/>
      <w:r>
        <w:rPr>
          <w:color w:val="auto"/>
          <w:sz w:val="22"/>
          <w:szCs w:val="22"/>
        </w:rPr>
        <w:t>2013;</w:t>
      </w:r>
      <w:r>
        <w:rPr>
          <w:b/>
          <w:bCs/>
          <w:color w:val="auto"/>
          <w:sz w:val="22"/>
          <w:szCs w:val="22"/>
        </w:rPr>
        <w:t>342</w:t>
      </w:r>
      <w:r>
        <w:rPr>
          <w:color w:val="auto"/>
          <w:sz w:val="22"/>
          <w:szCs w:val="22"/>
        </w:rPr>
        <w:t>:1235587</w:t>
      </w:r>
      <w:proofErr w:type="gramEnd"/>
      <w:r>
        <w:rPr>
          <w:color w:val="auto"/>
          <w:sz w:val="22"/>
          <w:szCs w:val="22"/>
        </w:rPr>
        <w:t xml:space="preserve">. </w:t>
      </w:r>
    </w:p>
    <w:p w14:paraId="7C747994" w14:textId="77777777" w:rsidR="00320CC7" w:rsidRDefault="00320CC7" w:rsidP="007721FD">
      <w:pPr>
        <w:pStyle w:val="Default"/>
        <w:rPr>
          <w:color w:val="auto"/>
          <w:sz w:val="22"/>
          <w:szCs w:val="22"/>
        </w:rPr>
      </w:pPr>
    </w:p>
    <w:p w14:paraId="161FFBFE" w14:textId="3CA22B51" w:rsidR="007721FD" w:rsidRDefault="007721FD" w:rsidP="007721FD">
      <w:pPr>
        <w:pStyle w:val="Default"/>
        <w:rPr>
          <w:color w:val="auto"/>
          <w:sz w:val="22"/>
          <w:szCs w:val="22"/>
        </w:rPr>
      </w:pPr>
      <w:r>
        <w:rPr>
          <w:color w:val="auto"/>
          <w:sz w:val="22"/>
          <w:szCs w:val="22"/>
        </w:rPr>
        <w:t xml:space="preserve">41 The 1000 Genomes Project Consortium. A map of human genome variation from population scale sequencing. </w:t>
      </w:r>
      <w:r>
        <w:rPr>
          <w:i/>
          <w:iCs/>
          <w:color w:val="auto"/>
          <w:sz w:val="22"/>
          <w:szCs w:val="22"/>
        </w:rPr>
        <w:t xml:space="preserve">Nature </w:t>
      </w:r>
      <w:proofErr w:type="gramStart"/>
      <w:r>
        <w:rPr>
          <w:color w:val="auto"/>
          <w:sz w:val="22"/>
          <w:szCs w:val="22"/>
        </w:rPr>
        <w:t>2010;</w:t>
      </w:r>
      <w:r>
        <w:rPr>
          <w:b/>
          <w:bCs/>
          <w:color w:val="auto"/>
          <w:sz w:val="22"/>
          <w:szCs w:val="22"/>
        </w:rPr>
        <w:t>467</w:t>
      </w:r>
      <w:r>
        <w:rPr>
          <w:color w:val="auto"/>
          <w:sz w:val="22"/>
          <w:szCs w:val="22"/>
        </w:rPr>
        <w:t>:1061</w:t>
      </w:r>
      <w:proofErr w:type="gramEnd"/>
      <w:r>
        <w:rPr>
          <w:color w:val="auto"/>
          <w:sz w:val="22"/>
          <w:szCs w:val="22"/>
        </w:rPr>
        <w:t>.</w:t>
      </w:r>
    </w:p>
    <w:p w14:paraId="27FFBD6B" w14:textId="77777777" w:rsidR="00320CC7" w:rsidRDefault="00320CC7" w:rsidP="007721FD">
      <w:pPr>
        <w:pStyle w:val="Default"/>
        <w:rPr>
          <w:color w:val="auto"/>
          <w:sz w:val="22"/>
          <w:szCs w:val="22"/>
        </w:rPr>
      </w:pPr>
    </w:p>
    <w:p w14:paraId="6157EFA0" w14:textId="3554C84D" w:rsidR="007721FD" w:rsidRDefault="007721FD" w:rsidP="007721FD">
      <w:pPr>
        <w:pStyle w:val="Default"/>
        <w:rPr>
          <w:color w:val="auto"/>
          <w:sz w:val="22"/>
          <w:szCs w:val="22"/>
        </w:rPr>
      </w:pPr>
      <w:r w:rsidRPr="007721FD">
        <w:rPr>
          <w:color w:val="auto"/>
          <w:sz w:val="22"/>
          <w:szCs w:val="22"/>
        </w:rPr>
        <w:t xml:space="preserve">42 IGVF Consortium. Deciphering the impact of genomic variation on function. Nature </w:t>
      </w:r>
      <w:proofErr w:type="gramStart"/>
      <w:r w:rsidRPr="007721FD">
        <w:rPr>
          <w:color w:val="auto"/>
          <w:sz w:val="22"/>
          <w:szCs w:val="22"/>
        </w:rPr>
        <w:t>2024;633:47</w:t>
      </w:r>
      <w:proofErr w:type="gramEnd"/>
      <w:r w:rsidRPr="007721FD">
        <w:rPr>
          <w:color w:val="auto"/>
          <w:sz w:val="22"/>
          <w:szCs w:val="22"/>
        </w:rPr>
        <w:t>–57.</w:t>
      </w:r>
    </w:p>
    <w:p w14:paraId="72033649" w14:textId="77777777" w:rsidR="00320CC7" w:rsidRDefault="00320CC7" w:rsidP="007721FD">
      <w:pPr>
        <w:pStyle w:val="Default"/>
        <w:rPr>
          <w:color w:val="auto"/>
          <w:sz w:val="22"/>
          <w:szCs w:val="22"/>
        </w:rPr>
      </w:pPr>
    </w:p>
    <w:p w14:paraId="4FF18AEC" w14:textId="77777777" w:rsidR="007721FD" w:rsidRDefault="007721FD" w:rsidP="007721FD">
      <w:pPr>
        <w:pStyle w:val="Default"/>
        <w:rPr>
          <w:color w:val="auto"/>
          <w:sz w:val="22"/>
          <w:szCs w:val="22"/>
        </w:rPr>
      </w:pPr>
      <w:r>
        <w:rPr>
          <w:color w:val="auto"/>
          <w:sz w:val="22"/>
          <w:szCs w:val="22"/>
        </w:rPr>
        <w:t xml:space="preserve">43 Balasubramanian S, Fu Y, </w:t>
      </w:r>
      <w:proofErr w:type="spellStart"/>
      <w:r>
        <w:rPr>
          <w:color w:val="auto"/>
          <w:sz w:val="22"/>
          <w:szCs w:val="22"/>
        </w:rPr>
        <w:t>Pawashe</w:t>
      </w:r>
      <w:proofErr w:type="spellEnd"/>
      <w:r>
        <w:rPr>
          <w:color w:val="auto"/>
          <w:sz w:val="22"/>
          <w:szCs w:val="22"/>
        </w:rPr>
        <w:t xml:space="preserve"> M, McGillivray P, Jin M, Liu J, </w:t>
      </w:r>
      <w:r>
        <w:rPr>
          <w:i/>
          <w:iCs/>
          <w:color w:val="auto"/>
          <w:sz w:val="22"/>
          <w:szCs w:val="22"/>
        </w:rPr>
        <w:t xml:space="preserve">et al. </w:t>
      </w:r>
      <w:r>
        <w:rPr>
          <w:color w:val="auto"/>
          <w:sz w:val="22"/>
          <w:szCs w:val="22"/>
        </w:rPr>
        <w:t xml:space="preserve">Using </w:t>
      </w:r>
      <w:proofErr w:type="spellStart"/>
      <w:r>
        <w:rPr>
          <w:color w:val="auto"/>
          <w:sz w:val="22"/>
          <w:szCs w:val="22"/>
        </w:rPr>
        <w:t>ALoFT</w:t>
      </w:r>
      <w:proofErr w:type="spellEnd"/>
      <w:r>
        <w:rPr>
          <w:color w:val="auto"/>
          <w:sz w:val="22"/>
          <w:szCs w:val="22"/>
        </w:rPr>
        <w:t xml:space="preserve"> to determine the impact of putative loss-of-function variants in protein-coding genes. </w:t>
      </w:r>
      <w:r>
        <w:rPr>
          <w:i/>
          <w:iCs/>
          <w:color w:val="auto"/>
          <w:sz w:val="22"/>
          <w:szCs w:val="22"/>
        </w:rPr>
        <w:t xml:space="preserve">Nat Commun </w:t>
      </w:r>
      <w:proofErr w:type="gramStart"/>
      <w:r>
        <w:rPr>
          <w:color w:val="auto"/>
          <w:sz w:val="22"/>
          <w:szCs w:val="22"/>
        </w:rPr>
        <w:t>2017;</w:t>
      </w:r>
      <w:r>
        <w:rPr>
          <w:b/>
          <w:bCs/>
          <w:color w:val="auto"/>
          <w:sz w:val="22"/>
          <w:szCs w:val="22"/>
        </w:rPr>
        <w:t>8</w:t>
      </w:r>
      <w:r>
        <w:rPr>
          <w:color w:val="auto"/>
          <w:sz w:val="22"/>
          <w:szCs w:val="22"/>
        </w:rPr>
        <w:t>:382</w:t>
      </w:r>
      <w:proofErr w:type="gramEnd"/>
      <w:r>
        <w:rPr>
          <w:color w:val="auto"/>
          <w:sz w:val="22"/>
          <w:szCs w:val="22"/>
        </w:rPr>
        <w:t xml:space="preserve">. </w:t>
      </w:r>
    </w:p>
    <w:p w14:paraId="2C545299" w14:textId="77777777" w:rsidR="00320CC7" w:rsidRDefault="00320CC7" w:rsidP="007721FD">
      <w:pPr>
        <w:pStyle w:val="Default"/>
        <w:rPr>
          <w:color w:val="auto"/>
          <w:sz w:val="22"/>
          <w:szCs w:val="22"/>
        </w:rPr>
      </w:pPr>
    </w:p>
    <w:p w14:paraId="006B57B4" w14:textId="77777777" w:rsidR="007721FD" w:rsidRDefault="007721FD" w:rsidP="007721FD">
      <w:pPr>
        <w:pStyle w:val="Default"/>
        <w:rPr>
          <w:color w:val="auto"/>
          <w:sz w:val="22"/>
          <w:szCs w:val="22"/>
        </w:rPr>
      </w:pPr>
      <w:r>
        <w:rPr>
          <w:color w:val="auto"/>
          <w:sz w:val="22"/>
          <w:szCs w:val="22"/>
        </w:rPr>
        <w:t xml:space="preserve">44 </w:t>
      </w:r>
      <w:proofErr w:type="spellStart"/>
      <w:r>
        <w:rPr>
          <w:color w:val="auto"/>
          <w:sz w:val="22"/>
          <w:szCs w:val="22"/>
        </w:rPr>
        <w:t>Lochovsky</w:t>
      </w:r>
      <w:proofErr w:type="spellEnd"/>
      <w:r>
        <w:rPr>
          <w:color w:val="auto"/>
          <w:sz w:val="22"/>
          <w:szCs w:val="22"/>
        </w:rPr>
        <w:t xml:space="preserve"> L, Zhang J, Fu Y, Khurana E, Gerstein M. LARVA: an integrative framework for large-scale analysis of recurrent variants in noncoding annotations. </w:t>
      </w:r>
      <w:r>
        <w:rPr>
          <w:i/>
          <w:iCs/>
          <w:color w:val="auto"/>
          <w:sz w:val="22"/>
          <w:szCs w:val="22"/>
        </w:rPr>
        <w:t xml:space="preserve">Nucleic Acids Res </w:t>
      </w:r>
      <w:proofErr w:type="gramStart"/>
      <w:r>
        <w:rPr>
          <w:color w:val="auto"/>
          <w:sz w:val="22"/>
          <w:szCs w:val="22"/>
        </w:rPr>
        <w:t>2015;</w:t>
      </w:r>
      <w:r>
        <w:rPr>
          <w:b/>
          <w:bCs/>
          <w:color w:val="auto"/>
          <w:sz w:val="22"/>
          <w:szCs w:val="22"/>
        </w:rPr>
        <w:t>43</w:t>
      </w:r>
      <w:r>
        <w:rPr>
          <w:color w:val="auto"/>
          <w:sz w:val="22"/>
          <w:szCs w:val="22"/>
        </w:rPr>
        <w:t>:8123</w:t>
      </w:r>
      <w:proofErr w:type="gramEnd"/>
      <w:r>
        <w:rPr>
          <w:color w:val="auto"/>
          <w:sz w:val="22"/>
          <w:szCs w:val="22"/>
        </w:rPr>
        <w:t xml:space="preserve">–34. </w:t>
      </w:r>
    </w:p>
    <w:p w14:paraId="01B2AFD3" w14:textId="77777777" w:rsidR="00320CC7" w:rsidRDefault="00320CC7" w:rsidP="007721FD">
      <w:pPr>
        <w:pStyle w:val="Default"/>
        <w:rPr>
          <w:color w:val="auto"/>
          <w:sz w:val="22"/>
          <w:szCs w:val="22"/>
        </w:rPr>
      </w:pPr>
    </w:p>
    <w:p w14:paraId="3110514F" w14:textId="77777777" w:rsidR="007721FD" w:rsidRDefault="007721FD" w:rsidP="007721FD">
      <w:pPr>
        <w:pStyle w:val="Default"/>
        <w:rPr>
          <w:color w:val="auto"/>
          <w:sz w:val="22"/>
          <w:szCs w:val="22"/>
        </w:rPr>
      </w:pPr>
      <w:r>
        <w:rPr>
          <w:color w:val="auto"/>
          <w:sz w:val="22"/>
          <w:szCs w:val="22"/>
        </w:rPr>
        <w:t xml:space="preserve">45 Fu Y, Liu Z, Lou S, Bedford J, Mu XJ, Yip KY, </w:t>
      </w:r>
      <w:r>
        <w:rPr>
          <w:i/>
          <w:iCs/>
          <w:color w:val="auto"/>
          <w:sz w:val="22"/>
          <w:szCs w:val="22"/>
        </w:rPr>
        <w:t xml:space="preserve">et al. </w:t>
      </w:r>
      <w:r>
        <w:rPr>
          <w:color w:val="auto"/>
          <w:sz w:val="22"/>
          <w:szCs w:val="22"/>
        </w:rPr>
        <w:t xml:space="preserve">FunSeq2: a framework for prioritizing noncoding regulatory variants in cancer. </w:t>
      </w:r>
      <w:r>
        <w:rPr>
          <w:i/>
          <w:iCs/>
          <w:color w:val="auto"/>
          <w:sz w:val="22"/>
          <w:szCs w:val="22"/>
        </w:rPr>
        <w:t xml:space="preserve">Genome Biol </w:t>
      </w:r>
      <w:proofErr w:type="gramStart"/>
      <w:r>
        <w:rPr>
          <w:color w:val="auto"/>
          <w:sz w:val="22"/>
          <w:szCs w:val="22"/>
        </w:rPr>
        <w:t>2014;</w:t>
      </w:r>
      <w:r>
        <w:rPr>
          <w:b/>
          <w:bCs/>
          <w:color w:val="auto"/>
          <w:sz w:val="22"/>
          <w:szCs w:val="22"/>
        </w:rPr>
        <w:t>15</w:t>
      </w:r>
      <w:r>
        <w:rPr>
          <w:color w:val="auto"/>
          <w:sz w:val="22"/>
          <w:szCs w:val="22"/>
        </w:rPr>
        <w:t>:480</w:t>
      </w:r>
      <w:proofErr w:type="gramEnd"/>
      <w:r>
        <w:rPr>
          <w:color w:val="auto"/>
          <w:sz w:val="22"/>
          <w:szCs w:val="22"/>
        </w:rPr>
        <w:t xml:space="preserve">. </w:t>
      </w:r>
    </w:p>
    <w:p w14:paraId="60518F1A" w14:textId="77777777" w:rsidR="00320CC7" w:rsidRDefault="00320CC7" w:rsidP="007721FD">
      <w:pPr>
        <w:pStyle w:val="Default"/>
        <w:rPr>
          <w:color w:val="auto"/>
          <w:sz w:val="22"/>
          <w:szCs w:val="22"/>
        </w:rPr>
      </w:pPr>
    </w:p>
    <w:p w14:paraId="5A0C1106" w14:textId="77777777" w:rsidR="007721FD" w:rsidRDefault="007721FD" w:rsidP="007721FD">
      <w:pPr>
        <w:pStyle w:val="Default"/>
        <w:rPr>
          <w:color w:val="auto"/>
          <w:sz w:val="22"/>
          <w:szCs w:val="22"/>
        </w:rPr>
      </w:pPr>
      <w:r>
        <w:rPr>
          <w:color w:val="auto"/>
          <w:sz w:val="22"/>
          <w:szCs w:val="22"/>
        </w:rPr>
        <w:t xml:space="preserve">46 </w:t>
      </w:r>
      <w:proofErr w:type="spellStart"/>
      <w:r>
        <w:rPr>
          <w:color w:val="auto"/>
          <w:sz w:val="22"/>
          <w:szCs w:val="22"/>
        </w:rPr>
        <w:t>Rozowsky</w:t>
      </w:r>
      <w:proofErr w:type="spellEnd"/>
      <w:r>
        <w:rPr>
          <w:color w:val="auto"/>
          <w:sz w:val="22"/>
          <w:szCs w:val="22"/>
        </w:rPr>
        <w:t xml:space="preserve"> J, </w:t>
      </w:r>
      <w:proofErr w:type="spellStart"/>
      <w:r>
        <w:rPr>
          <w:color w:val="auto"/>
          <w:sz w:val="22"/>
          <w:szCs w:val="22"/>
        </w:rPr>
        <w:t>Abyzov</w:t>
      </w:r>
      <w:proofErr w:type="spellEnd"/>
      <w:r>
        <w:rPr>
          <w:color w:val="auto"/>
          <w:sz w:val="22"/>
          <w:szCs w:val="22"/>
        </w:rPr>
        <w:t xml:space="preserve"> A, Wang J, Alves P, Raha D, Harmanci A, </w:t>
      </w:r>
      <w:r>
        <w:rPr>
          <w:i/>
          <w:iCs/>
          <w:color w:val="auto"/>
          <w:sz w:val="22"/>
          <w:szCs w:val="22"/>
        </w:rPr>
        <w:t xml:space="preserve">et al. </w:t>
      </w:r>
      <w:proofErr w:type="spellStart"/>
      <w:r>
        <w:rPr>
          <w:color w:val="auto"/>
          <w:sz w:val="22"/>
          <w:szCs w:val="22"/>
        </w:rPr>
        <w:t>AlleleSeq</w:t>
      </w:r>
      <w:proofErr w:type="spellEnd"/>
      <w:r>
        <w:rPr>
          <w:color w:val="auto"/>
          <w:sz w:val="22"/>
          <w:szCs w:val="22"/>
        </w:rPr>
        <w:t xml:space="preserve">: analysis of allele-specific expression and binding in a network framework. </w:t>
      </w:r>
      <w:r>
        <w:rPr>
          <w:i/>
          <w:iCs/>
          <w:color w:val="auto"/>
          <w:sz w:val="22"/>
          <w:szCs w:val="22"/>
        </w:rPr>
        <w:t xml:space="preserve">Mol Syst Biol </w:t>
      </w:r>
      <w:proofErr w:type="gramStart"/>
      <w:r>
        <w:rPr>
          <w:color w:val="auto"/>
          <w:sz w:val="22"/>
          <w:szCs w:val="22"/>
        </w:rPr>
        <w:t>2011;</w:t>
      </w:r>
      <w:r>
        <w:rPr>
          <w:b/>
          <w:bCs/>
          <w:color w:val="auto"/>
          <w:sz w:val="22"/>
          <w:szCs w:val="22"/>
        </w:rPr>
        <w:t>7</w:t>
      </w:r>
      <w:r>
        <w:rPr>
          <w:color w:val="auto"/>
          <w:sz w:val="22"/>
          <w:szCs w:val="22"/>
        </w:rPr>
        <w:t>:522</w:t>
      </w:r>
      <w:proofErr w:type="gramEnd"/>
      <w:r>
        <w:rPr>
          <w:color w:val="auto"/>
          <w:sz w:val="22"/>
          <w:szCs w:val="22"/>
        </w:rPr>
        <w:t xml:space="preserve">. </w:t>
      </w:r>
    </w:p>
    <w:p w14:paraId="73F56E42" w14:textId="77777777" w:rsidR="00320CC7" w:rsidRDefault="00320CC7" w:rsidP="007721FD">
      <w:pPr>
        <w:pStyle w:val="Default"/>
        <w:rPr>
          <w:color w:val="auto"/>
          <w:sz w:val="22"/>
          <w:szCs w:val="22"/>
        </w:rPr>
      </w:pPr>
    </w:p>
    <w:p w14:paraId="3D4146C8" w14:textId="02C4196B" w:rsidR="007721FD" w:rsidRDefault="007721FD" w:rsidP="007721FD">
      <w:pPr>
        <w:pStyle w:val="Default"/>
        <w:rPr>
          <w:color w:val="auto"/>
          <w:sz w:val="22"/>
          <w:szCs w:val="22"/>
        </w:rPr>
      </w:pPr>
      <w:r>
        <w:rPr>
          <w:color w:val="auto"/>
          <w:sz w:val="22"/>
          <w:szCs w:val="22"/>
        </w:rPr>
        <w:t xml:space="preserve">47 Schatz MC, </w:t>
      </w:r>
      <w:proofErr w:type="spellStart"/>
      <w:r>
        <w:rPr>
          <w:color w:val="auto"/>
          <w:sz w:val="22"/>
          <w:szCs w:val="22"/>
        </w:rPr>
        <w:t>Philippakis</w:t>
      </w:r>
      <w:proofErr w:type="spellEnd"/>
      <w:r>
        <w:rPr>
          <w:color w:val="auto"/>
          <w:sz w:val="22"/>
          <w:szCs w:val="22"/>
        </w:rPr>
        <w:t xml:space="preserve"> AA, </w:t>
      </w:r>
      <w:proofErr w:type="spellStart"/>
      <w:r>
        <w:rPr>
          <w:color w:val="auto"/>
          <w:sz w:val="22"/>
          <w:szCs w:val="22"/>
        </w:rPr>
        <w:t>Afgan</w:t>
      </w:r>
      <w:proofErr w:type="spellEnd"/>
      <w:r>
        <w:rPr>
          <w:color w:val="auto"/>
          <w:sz w:val="22"/>
          <w:szCs w:val="22"/>
        </w:rPr>
        <w:t xml:space="preserve"> E, Banks E, Carey VJ, Carroll RJ, </w:t>
      </w:r>
      <w:r>
        <w:rPr>
          <w:i/>
          <w:iCs/>
          <w:color w:val="auto"/>
          <w:sz w:val="22"/>
          <w:szCs w:val="22"/>
        </w:rPr>
        <w:t xml:space="preserve">et al. </w:t>
      </w:r>
      <w:r>
        <w:rPr>
          <w:color w:val="auto"/>
          <w:sz w:val="22"/>
          <w:szCs w:val="22"/>
        </w:rPr>
        <w:t xml:space="preserve">Inverting the model of genomics data sharing with the NHGRI Genomic Data Science Analysis, Visualization, and Informatics Lab-space. </w:t>
      </w:r>
      <w:r>
        <w:rPr>
          <w:i/>
          <w:iCs/>
          <w:color w:val="auto"/>
          <w:sz w:val="22"/>
          <w:szCs w:val="22"/>
        </w:rPr>
        <w:t xml:space="preserve">Cell </w:t>
      </w:r>
      <w:proofErr w:type="spellStart"/>
      <w:r>
        <w:rPr>
          <w:i/>
          <w:iCs/>
          <w:color w:val="auto"/>
          <w:sz w:val="22"/>
          <w:szCs w:val="22"/>
        </w:rPr>
        <w:t>Genom</w:t>
      </w:r>
      <w:proofErr w:type="spellEnd"/>
      <w:r>
        <w:rPr>
          <w:i/>
          <w:iCs/>
          <w:color w:val="auto"/>
          <w:sz w:val="22"/>
          <w:szCs w:val="22"/>
        </w:rPr>
        <w:t xml:space="preserve"> </w:t>
      </w:r>
      <w:r>
        <w:rPr>
          <w:color w:val="auto"/>
          <w:sz w:val="22"/>
          <w:szCs w:val="22"/>
        </w:rPr>
        <w:t>2022;</w:t>
      </w:r>
      <w:r>
        <w:rPr>
          <w:b/>
          <w:bCs/>
          <w:color w:val="auto"/>
          <w:sz w:val="22"/>
          <w:szCs w:val="22"/>
        </w:rPr>
        <w:t>2.</w:t>
      </w:r>
      <w:r>
        <w:rPr>
          <w:color w:val="auto"/>
          <w:sz w:val="22"/>
          <w:szCs w:val="22"/>
        </w:rPr>
        <w:t xml:space="preserve">: </w:t>
      </w:r>
      <w:hyperlink r:id="rId8" w:history="1">
        <w:r w:rsidR="00320CC7" w:rsidRPr="00F61221">
          <w:rPr>
            <w:rStyle w:val="Hyperlink"/>
            <w:sz w:val="22"/>
            <w:szCs w:val="22"/>
          </w:rPr>
          <w:t>https://doi.org/10.1016/j.xgen.2021.100085</w:t>
        </w:r>
      </w:hyperlink>
      <w:r>
        <w:rPr>
          <w:color w:val="auto"/>
          <w:sz w:val="22"/>
          <w:szCs w:val="22"/>
        </w:rPr>
        <w:t>.</w:t>
      </w:r>
    </w:p>
    <w:p w14:paraId="2676BBDC" w14:textId="77777777" w:rsidR="00320CC7" w:rsidRDefault="00320CC7" w:rsidP="007721FD">
      <w:pPr>
        <w:pStyle w:val="Default"/>
        <w:rPr>
          <w:color w:val="auto"/>
          <w:sz w:val="22"/>
          <w:szCs w:val="22"/>
        </w:rPr>
      </w:pPr>
    </w:p>
    <w:p w14:paraId="6A3311F3" w14:textId="031648D5" w:rsidR="007721FD" w:rsidRDefault="007721FD" w:rsidP="007721FD">
      <w:pPr>
        <w:pStyle w:val="Default"/>
        <w:rPr>
          <w:color w:val="auto"/>
          <w:sz w:val="22"/>
          <w:szCs w:val="22"/>
        </w:rPr>
      </w:pPr>
      <w:r w:rsidRPr="007721FD">
        <w:rPr>
          <w:color w:val="auto"/>
          <w:sz w:val="22"/>
          <w:szCs w:val="22"/>
        </w:rPr>
        <w:t xml:space="preserve">48 Logsdon GA, Ebert P, </w:t>
      </w:r>
      <w:proofErr w:type="spellStart"/>
      <w:r w:rsidRPr="007721FD">
        <w:rPr>
          <w:color w:val="auto"/>
          <w:sz w:val="22"/>
          <w:szCs w:val="22"/>
        </w:rPr>
        <w:t>Audano</w:t>
      </w:r>
      <w:proofErr w:type="spellEnd"/>
      <w:r w:rsidRPr="007721FD">
        <w:rPr>
          <w:color w:val="auto"/>
          <w:sz w:val="22"/>
          <w:szCs w:val="22"/>
        </w:rPr>
        <w:t xml:space="preserve"> PA, Loftus M, </w:t>
      </w:r>
      <w:proofErr w:type="spellStart"/>
      <w:r w:rsidRPr="007721FD">
        <w:rPr>
          <w:color w:val="auto"/>
          <w:sz w:val="22"/>
          <w:szCs w:val="22"/>
        </w:rPr>
        <w:t>Porubsky</w:t>
      </w:r>
      <w:proofErr w:type="spellEnd"/>
      <w:r w:rsidRPr="007721FD">
        <w:rPr>
          <w:color w:val="auto"/>
          <w:sz w:val="22"/>
          <w:szCs w:val="22"/>
        </w:rPr>
        <w:t xml:space="preserve"> D, </w:t>
      </w:r>
      <w:proofErr w:type="spellStart"/>
      <w:r w:rsidRPr="007721FD">
        <w:rPr>
          <w:color w:val="auto"/>
          <w:sz w:val="22"/>
          <w:szCs w:val="22"/>
        </w:rPr>
        <w:t>Ebler</w:t>
      </w:r>
      <w:proofErr w:type="spellEnd"/>
      <w:r w:rsidRPr="007721FD">
        <w:rPr>
          <w:color w:val="auto"/>
          <w:sz w:val="22"/>
          <w:szCs w:val="22"/>
        </w:rPr>
        <w:t xml:space="preserve"> J, et al. Complex genetic variation in nearly complete human genomes. </w:t>
      </w:r>
      <w:proofErr w:type="spellStart"/>
      <w:r w:rsidRPr="007721FD">
        <w:rPr>
          <w:color w:val="auto"/>
          <w:sz w:val="22"/>
          <w:szCs w:val="22"/>
        </w:rPr>
        <w:t>bioRxiv</w:t>
      </w:r>
      <w:proofErr w:type="spellEnd"/>
      <w:r w:rsidRPr="007721FD">
        <w:rPr>
          <w:color w:val="auto"/>
          <w:sz w:val="22"/>
          <w:szCs w:val="22"/>
        </w:rPr>
        <w:t xml:space="preserve"> 2024:2024.09.24.614721. </w:t>
      </w:r>
      <w:hyperlink r:id="rId9" w:history="1">
        <w:r w:rsidR="00320CC7" w:rsidRPr="00F61221">
          <w:rPr>
            <w:rStyle w:val="Hyperlink"/>
            <w:sz w:val="22"/>
            <w:szCs w:val="22"/>
          </w:rPr>
          <w:t>https://doi.org/10.1101/2024.09.24.614721</w:t>
        </w:r>
      </w:hyperlink>
      <w:r w:rsidRPr="007721FD">
        <w:rPr>
          <w:color w:val="auto"/>
          <w:sz w:val="22"/>
          <w:szCs w:val="22"/>
        </w:rPr>
        <w:t>.</w:t>
      </w:r>
    </w:p>
    <w:p w14:paraId="5FD17E2D" w14:textId="77777777" w:rsidR="00320CC7" w:rsidRPr="007721FD" w:rsidRDefault="00320CC7" w:rsidP="007721FD">
      <w:pPr>
        <w:pStyle w:val="Default"/>
        <w:rPr>
          <w:color w:val="auto"/>
          <w:sz w:val="22"/>
          <w:szCs w:val="22"/>
        </w:rPr>
      </w:pPr>
    </w:p>
    <w:p w14:paraId="4444801A" w14:textId="0DA69F15" w:rsidR="007721FD" w:rsidRDefault="007721FD" w:rsidP="007721FD">
      <w:pPr>
        <w:pStyle w:val="Default"/>
        <w:rPr>
          <w:color w:val="auto"/>
          <w:sz w:val="22"/>
          <w:szCs w:val="22"/>
        </w:rPr>
      </w:pPr>
      <w:r w:rsidRPr="007721FD">
        <w:rPr>
          <w:color w:val="auto"/>
          <w:sz w:val="22"/>
          <w:szCs w:val="22"/>
        </w:rPr>
        <w:t xml:space="preserve">49 Novak AM, Chung D, Hickey G, </w:t>
      </w:r>
      <w:proofErr w:type="spellStart"/>
      <w:r w:rsidRPr="007721FD">
        <w:rPr>
          <w:color w:val="auto"/>
          <w:sz w:val="22"/>
          <w:szCs w:val="22"/>
        </w:rPr>
        <w:t>Djebali</w:t>
      </w:r>
      <w:proofErr w:type="spellEnd"/>
      <w:r w:rsidRPr="007721FD">
        <w:rPr>
          <w:color w:val="auto"/>
          <w:sz w:val="22"/>
          <w:szCs w:val="22"/>
        </w:rPr>
        <w:t xml:space="preserve"> S, Yokoyama TT, Garrison E, et al. Efficient indexing and querying of annotations in a pangenome graph. </w:t>
      </w:r>
      <w:proofErr w:type="spellStart"/>
      <w:r w:rsidRPr="007721FD">
        <w:rPr>
          <w:color w:val="auto"/>
          <w:sz w:val="22"/>
          <w:szCs w:val="22"/>
        </w:rPr>
        <w:t>bioRxiv</w:t>
      </w:r>
      <w:proofErr w:type="spellEnd"/>
      <w:r w:rsidRPr="007721FD">
        <w:rPr>
          <w:color w:val="auto"/>
          <w:sz w:val="22"/>
          <w:szCs w:val="22"/>
        </w:rPr>
        <w:t xml:space="preserve"> 2024. </w:t>
      </w:r>
      <w:hyperlink r:id="rId10" w:history="1">
        <w:r w:rsidR="00320CC7" w:rsidRPr="00F61221">
          <w:rPr>
            <w:rStyle w:val="Hyperlink"/>
            <w:sz w:val="22"/>
            <w:szCs w:val="22"/>
          </w:rPr>
          <w:t>https://doi.org/10.1101/2024.10.12.618009</w:t>
        </w:r>
      </w:hyperlink>
      <w:r w:rsidRPr="007721FD">
        <w:rPr>
          <w:color w:val="auto"/>
          <w:sz w:val="22"/>
          <w:szCs w:val="22"/>
        </w:rPr>
        <w:t>.</w:t>
      </w:r>
    </w:p>
    <w:p w14:paraId="14DE06A9" w14:textId="77777777" w:rsidR="00320CC7" w:rsidRPr="007721FD" w:rsidRDefault="00320CC7" w:rsidP="007721FD">
      <w:pPr>
        <w:pStyle w:val="Default"/>
        <w:rPr>
          <w:color w:val="auto"/>
          <w:sz w:val="22"/>
          <w:szCs w:val="22"/>
        </w:rPr>
      </w:pPr>
    </w:p>
    <w:p w14:paraId="12F343B5" w14:textId="400AF3AF" w:rsidR="007721FD" w:rsidRDefault="007721FD" w:rsidP="007721FD">
      <w:pPr>
        <w:pStyle w:val="Default"/>
        <w:rPr>
          <w:color w:val="auto"/>
          <w:sz w:val="22"/>
          <w:szCs w:val="22"/>
        </w:rPr>
      </w:pPr>
      <w:r w:rsidRPr="007721FD">
        <w:rPr>
          <w:color w:val="auto"/>
          <w:sz w:val="22"/>
          <w:szCs w:val="22"/>
        </w:rPr>
        <w:t xml:space="preserve">50 Ebert P, </w:t>
      </w:r>
      <w:proofErr w:type="spellStart"/>
      <w:r w:rsidRPr="007721FD">
        <w:rPr>
          <w:color w:val="auto"/>
          <w:sz w:val="22"/>
          <w:szCs w:val="22"/>
        </w:rPr>
        <w:t>Audano</w:t>
      </w:r>
      <w:proofErr w:type="spellEnd"/>
      <w:r w:rsidRPr="007721FD">
        <w:rPr>
          <w:color w:val="auto"/>
          <w:sz w:val="22"/>
          <w:szCs w:val="22"/>
        </w:rPr>
        <w:t xml:space="preserve"> PA, Zhu Q, Rodriguez-Martin B, </w:t>
      </w:r>
      <w:proofErr w:type="spellStart"/>
      <w:r w:rsidRPr="007721FD">
        <w:rPr>
          <w:color w:val="auto"/>
          <w:sz w:val="22"/>
          <w:szCs w:val="22"/>
        </w:rPr>
        <w:t>Porubsky</w:t>
      </w:r>
      <w:proofErr w:type="spellEnd"/>
      <w:r w:rsidRPr="007721FD">
        <w:rPr>
          <w:color w:val="auto"/>
          <w:sz w:val="22"/>
          <w:szCs w:val="22"/>
        </w:rPr>
        <w:t xml:space="preserve"> D, Bonder MJ, et al. Haplotype-resolved diverse human genomes and integrated analysis of structural variation. Science 2021;372.: </w:t>
      </w:r>
      <w:hyperlink r:id="rId11" w:history="1">
        <w:r w:rsidR="00320CC7" w:rsidRPr="00F61221">
          <w:rPr>
            <w:rStyle w:val="Hyperlink"/>
            <w:sz w:val="22"/>
            <w:szCs w:val="22"/>
          </w:rPr>
          <w:t>https://doi.org/10.1126/science.abf7117</w:t>
        </w:r>
      </w:hyperlink>
      <w:r w:rsidRPr="007721FD">
        <w:rPr>
          <w:color w:val="auto"/>
          <w:sz w:val="22"/>
          <w:szCs w:val="22"/>
        </w:rPr>
        <w:t>.</w:t>
      </w:r>
    </w:p>
    <w:p w14:paraId="32C0DFCA" w14:textId="77777777" w:rsidR="00320CC7" w:rsidRPr="007721FD" w:rsidRDefault="00320CC7" w:rsidP="007721FD">
      <w:pPr>
        <w:pStyle w:val="Default"/>
        <w:rPr>
          <w:color w:val="auto"/>
          <w:sz w:val="22"/>
          <w:szCs w:val="22"/>
        </w:rPr>
      </w:pPr>
    </w:p>
    <w:p w14:paraId="28AF0BBB" w14:textId="19793D90" w:rsidR="007721FD" w:rsidRDefault="007721FD" w:rsidP="007721FD">
      <w:pPr>
        <w:pStyle w:val="Default"/>
        <w:rPr>
          <w:color w:val="auto"/>
          <w:sz w:val="22"/>
          <w:szCs w:val="22"/>
        </w:rPr>
      </w:pPr>
      <w:r w:rsidRPr="007721FD">
        <w:rPr>
          <w:color w:val="auto"/>
          <w:sz w:val="22"/>
          <w:szCs w:val="22"/>
        </w:rPr>
        <w:t xml:space="preserve">51 Li C, Bonder MJ, Syed S, Jensen M, Human Genome Structural Variation Consortium (HGSVC), HGSVC Functional Analysis Working Group, et al. An integrative TAD catalog in lymphoblastoid cell lines discloses the functional impact of deletions and insertions in human genomes. Genome Res </w:t>
      </w:r>
      <w:proofErr w:type="gramStart"/>
      <w:r w:rsidRPr="007721FD">
        <w:rPr>
          <w:color w:val="auto"/>
          <w:sz w:val="22"/>
          <w:szCs w:val="22"/>
        </w:rPr>
        <w:t>2024;34:2304</w:t>
      </w:r>
      <w:proofErr w:type="gramEnd"/>
      <w:r w:rsidRPr="007721FD">
        <w:rPr>
          <w:color w:val="auto"/>
          <w:sz w:val="22"/>
          <w:szCs w:val="22"/>
        </w:rPr>
        <w:t>–18.</w:t>
      </w:r>
    </w:p>
    <w:p w14:paraId="3D8B4820" w14:textId="77777777" w:rsidR="00320CC7" w:rsidRDefault="00320CC7" w:rsidP="007721FD">
      <w:pPr>
        <w:pStyle w:val="Default"/>
        <w:rPr>
          <w:color w:val="auto"/>
          <w:sz w:val="22"/>
          <w:szCs w:val="22"/>
        </w:rPr>
      </w:pPr>
    </w:p>
    <w:p w14:paraId="3BAA032F" w14:textId="77777777" w:rsidR="007721FD" w:rsidRDefault="007721FD" w:rsidP="007721FD">
      <w:pPr>
        <w:pStyle w:val="Default"/>
        <w:rPr>
          <w:color w:val="auto"/>
          <w:sz w:val="22"/>
          <w:szCs w:val="22"/>
        </w:rPr>
      </w:pPr>
      <w:r w:rsidRPr="007721FD">
        <w:rPr>
          <w:color w:val="auto"/>
          <w:sz w:val="22"/>
          <w:szCs w:val="22"/>
        </w:rPr>
        <w:t xml:space="preserve">52 A global reference for human genetic variation. Nature </w:t>
      </w:r>
      <w:proofErr w:type="gramStart"/>
      <w:r w:rsidRPr="007721FD">
        <w:rPr>
          <w:color w:val="auto"/>
          <w:sz w:val="22"/>
          <w:szCs w:val="22"/>
        </w:rPr>
        <w:t>2015;526:68</w:t>
      </w:r>
      <w:proofErr w:type="gramEnd"/>
      <w:r w:rsidRPr="007721FD">
        <w:rPr>
          <w:color w:val="auto"/>
          <w:sz w:val="22"/>
          <w:szCs w:val="22"/>
        </w:rPr>
        <w:t>–74.</w:t>
      </w:r>
    </w:p>
    <w:p w14:paraId="6D8EEB1B" w14:textId="77777777" w:rsidR="00320CC7" w:rsidRPr="007721FD" w:rsidRDefault="00320CC7" w:rsidP="007721FD">
      <w:pPr>
        <w:pStyle w:val="Default"/>
        <w:rPr>
          <w:color w:val="auto"/>
          <w:sz w:val="22"/>
          <w:szCs w:val="22"/>
        </w:rPr>
      </w:pPr>
    </w:p>
    <w:p w14:paraId="0449012A" w14:textId="77777777" w:rsidR="007721FD" w:rsidRDefault="007721FD" w:rsidP="007721FD">
      <w:pPr>
        <w:pStyle w:val="Default"/>
        <w:rPr>
          <w:color w:val="auto"/>
          <w:sz w:val="22"/>
          <w:szCs w:val="22"/>
        </w:rPr>
      </w:pPr>
      <w:r w:rsidRPr="007721FD">
        <w:rPr>
          <w:color w:val="auto"/>
          <w:sz w:val="22"/>
          <w:szCs w:val="22"/>
        </w:rPr>
        <w:t xml:space="preserve">53 An integrated map of genetic variation from 1,092 human genomes. Nature </w:t>
      </w:r>
      <w:proofErr w:type="gramStart"/>
      <w:r w:rsidRPr="007721FD">
        <w:rPr>
          <w:color w:val="auto"/>
          <w:sz w:val="22"/>
          <w:szCs w:val="22"/>
        </w:rPr>
        <w:t>2012;491:56</w:t>
      </w:r>
      <w:proofErr w:type="gramEnd"/>
      <w:r w:rsidRPr="007721FD">
        <w:rPr>
          <w:color w:val="auto"/>
          <w:sz w:val="22"/>
          <w:szCs w:val="22"/>
        </w:rPr>
        <w:t>–65.</w:t>
      </w:r>
    </w:p>
    <w:p w14:paraId="533B209A" w14:textId="77777777" w:rsidR="00320CC7" w:rsidRPr="007721FD" w:rsidRDefault="00320CC7" w:rsidP="007721FD">
      <w:pPr>
        <w:pStyle w:val="Default"/>
        <w:rPr>
          <w:color w:val="auto"/>
          <w:sz w:val="22"/>
          <w:szCs w:val="22"/>
        </w:rPr>
      </w:pPr>
    </w:p>
    <w:p w14:paraId="7FBE48A0" w14:textId="77777777" w:rsidR="007721FD" w:rsidRDefault="007721FD" w:rsidP="007721FD">
      <w:pPr>
        <w:pStyle w:val="Default"/>
        <w:rPr>
          <w:color w:val="auto"/>
          <w:sz w:val="22"/>
          <w:szCs w:val="22"/>
        </w:rPr>
      </w:pPr>
      <w:r w:rsidRPr="007721FD">
        <w:rPr>
          <w:color w:val="auto"/>
          <w:sz w:val="22"/>
          <w:szCs w:val="22"/>
        </w:rPr>
        <w:t xml:space="preserve">54 Mills RE, Walter K, Stewart C, </w:t>
      </w:r>
      <w:proofErr w:type="spellStart"/>
      <w:r w:rsidRPr="007721FD">
        <w:rPr>
          <w:color w:val="auto"/>
          <w:sz w:val="22"/>
          <w:szCs w:val="22"/>
        </w:rPr>
        <w:t>Handsaker</w:t>
      </w:r>
      <w:proofErr w:type="spellEnd"/>
      <w:r w:rsidRPr="007721FD">
        <w:rPr>
          <w:color w:val="auto"/>
          <w:sz w:val="22"/>
          <w:szCs w:val="22"/>
        </w:rPr>
        <w:t xml:space="preserve"> RE, Chen K, Alkan C, et al. Mapping copy number variation by population-scale genome sequencing. Nature </w:t>
      </w:r>
      <w:proofErr w:type="gramStart"/>
      <w:r w:rsidRPr="007721FD">
        <w:rPr>
          <w:color w:val="auto"/>
          <w:sz w:val="22"/>
          <w:szCs w:val="22"/>
        </w:rPr>
        <w:t>2011;470:59</w:t>
      </w:r>
      <w:proofErr w:type="gramEnd"/>
      <w:r w:rsidRPr="007721FD">
        <w:rPr>
          <w:color w:val="auto"/>
          <w:sz w:val="22"/>
          <w:szCs w:val="22"/>
        </w:rPr>
        <w:t>–65.</w:t>
      </w:r>
    </w:p>
    <w:p w14:paraId="2C1ECD72" w14:textId="77777777" w:rsidR="00320CC7" w:rsidRPr="007721FD" w:rsidRDefault="00320CC7" w:rsidP="007721FD">
      <w:pPr>
        <w:pStyle w:val="Default"/>
        <w:rPr>
          <w:color w:val="auto"/>
          <w:sz w:val="22"/>
          <w:szCs w:val="22"/>
        </w:rPr>
      </w:pPr>
    </w:p>
    <w:p w14:paraId="04F15619" w14:textId="3C47BB01" w:rsidR="007721FD" w:rsidRDefault="007721FD" w:rsidP="007721FD">
      <w:pPr>
        <w:pStyle w:val="Default"/>
        <w:rPr>
          <w:color w:val="auto"/>
          <w:sz w:val="22"/>
          <w:szCs w:val="22"/>
        </w:rPr>
      </w:pPr>
      <w:r w:rsidRPr="007721FD">
        <w:rPr>
          <w:color w:val="auto"/>
          <w:sz w:val="22"/>
          <w:szCs w:val="22"/>
        </w:rPr>
        <w:t xml:space="preserve">55 </w:t>
      </w:r>
      <w:proofErr w:type="spellStart"/>
      <w:r w:rsidRPr="007721FD">
        <w:rPr>
          <w:color w:val="auto"/>
          <w:sz w:val="22"/>
          <w:szCs w:val="22"/>
        </w:rPr>
        <w:t>Delaneau</w:t>
      </w:r>
      <w:proofErr w:type="spellEnd"/>
      <w:r w:rsidRPr="007721FD">
        <w:rPr>
          <w:color w:val="auto"/>
          <w:sz w:val="22"/>
          <w:szCs w:val="22"/>
        </w:rPr>
        <w:t xml:space="preserve"> O, </w:t>
      </w:r>
      <w:proofErr w:type="spellStart"/>
      <w:r w:rsidRPr="007721FD">
        <w:rPr>
          <w:color w:val="auto"/>
          <w:sz w:val="22"/>
          <w:szCs w:val="22"/>
        </w:rPr>
        <w:t>Marchini</w:t>
      </w:r>
      <w:proofErr w:type="spellEnd"/>
      <w:r w:rsidRPr="007721FD">
        <w:rPr>
          <w:color w:val="auto"/>
          <w:sz w:val="22"/>
          <w:szCs w:val="22"/>
        </w:rPr>
        <w:t xml:space="preserve"> J. Integrating sequence and array data to create an improved 1000 Genomes Project haplotype reference panel. Nat Commun </w:t>
      </w:r>
      <w:proofErr w:type="gramStart"/>
      <w:r w:rsidRPr="007721FD">
        <w:rPr>
          <w:color w:val="auto"/>
          <w:sz w:val="22"/>
          <w:szCs w:val="22"/>
        </w:rPr>
        <w:t>2014;5:1</w:t>
      </w:r>
      <w:proofErr w:type="gramEnd"/>
      <w:r w:rsidRPr="007721FD">
        <w:rPr>
          <w:color w:val="auto"/>
          <w:sz w:val="22"/>
          <w:szCs w:val="22"/>
        </w:rPr>
        <w:t>–9.</w:t>
      </w:r>
    </w:p>
    <w:p w14:paraId="35D0F2A6" w14:textId="77777777" w:rsidR="00320CC7" w:rsidRDefault="00320CC7" w:rsidP="007721FD">
      <w:pPr>
        <w:pStyle w:val="Default"/>
      </w:pPr>
    </w:p>
    <w:p w14:paraId="3980B834" w14:textId="77777777" w:rsidR="007721FD" w:rsidRDefault="007721FD" w:rsidP="007721FD">
      <w:pPr>
        <w:pStyle w:val="Default"/>
        <w:rPr>
          <w:color w:val="auto"/>
          <w:sz w:val="22"/>
          <w:szCs w:val="22"/>
        </w:rPr>
      </w:pPr>
      <w:r>
        <w:rPr>
          <w:color w:val="auto"/>
          <w:sz w:val="22"/>
          <w:szCs w:val="22"/>
        </w:rPr>
        <w:t xml:space="preserve">60 Gerstein MB, </w:t>
      </w:r>
      <w:proofErr w:type="spellStart"/>
      <w:r>
        <w:rPr>
          <w:color w:val="auto"/>
          <w:sz w:val="22"/>
          <w:szCs w:val="22"/>
        </w:rPr>
        <w:t>Rozowsky</w:t>
      </w:r>
      <w:proofErr w:type="spellEnd"/>
      <w:r>
        <w:rPr>
          <w:color w:val="auto"/>
          <w:sz w:val="22"/>
          <w:szCs w:val="22"/>
        </w:rPr>
        <w:t xml:space="preserve"> J, Yan K-K, Wang D, Cheng C, Brown JB, </w:t>
      </w:r>
      <w:r>
        <w:rPr>
          <w:i/>
          <w:iCs/>
          <w:color w:val="auto"/>
          <w:sz w:val="22"/>
          <w:szCs w:val="22"/>
        </w:rPr>
        <w:t xml:space="preserve">et al. </w:t>
      </w:r>
      <w:r>
        <w:rPr>
          <w:color w:val="auto"/>
          <w:sz w:val="22"/>
          <w:szCs w:val="22"/>
        </w:rPr>
        <w:t xml:space="preserve">Comparative analysis of the transcriptome across distant species. </w:t>
      </w:r>
      <w:r>
        <w:rPr>
          <w:i/>
          <w:iCs/>
          <w:color w:val="auto"/>
          <w:sz w:val="22"/>
          <w:szCs w:val="22"/>
        </w:rPr>
        <w:t xml:space="preserve">Nature </w:t>
      </w:r>
      <w:proofErr w:type="gramStart"/>
      <w:r>
        <w:rPr>
          <w:color w:val="auto"/>
          <w:sz w:val="22"/>
          <w:szCs w:val="22"/>
        </w:rPr>
        <w:t>2014;</w:t>
      </w:r>
      <w:r>
        <w:rPr>
          <w:b/>
          <w:bCs/>
          <w:color w:val="auto"/>
          <w:sz w:val="22"/>
          <w:szCs w:val="22"/>
        </w:rPr>
        <w:t>512</w:t>
      </w:r>
      <w:r>
        <w:rPr>
          <w:color w:val="auto"/>
          <w:sz w:val="22"/>
          <w:szCs w:val="22"/>
        </w:rPr>
        <w:t>:445</w:t>
      </w:r>
      <w:proofErr w:type="gramEnd"/>
      <w:r>
        <w:rPr>
          <w:color w:val="auto"/>
          <w:sz w:val="22"/>
          <w:szCs w:val="22"/>
        </w:rPr>
        <w:t xml:space="preserve">–8. </w:t>
      </w:r>
    </w:p>
    <w:p w14:paraId="1F0D3FCD" w14:textId="77777777" w:rsidR="00320CC7" w:rsidRDefault="00320CC7" w:rsidP="007721FD">
      <w:pPr>
        <w:pStyle w:val="Default"/>
        <w:rPr>
          <w:color w:val="auto"/>
          <w:sz w:val="22"/>
          <w:szCs w:val="22"/>
        </w:rPr>
      </w:pPr>
    </w:p>
    <w:p w14:paraId="1A27626F" w14:textId="77777777" w:rsidR="007721FD" w:rsidRDefault="007721FD" w:rsidP="007721FD">
      <w:pPr>
        <w:pStyle w:val="Default"/>
        <w:rPr>
          <w:color w:val="auto"/>
          <w:sz w:val="22"/>
          <w:szCs w:val="22"/>
        </w:rPr>
      </w:pPr>
      <w:r>
        <w:rPr>
          <w:color w:val="auto"/>
          <w:sz w:val="22"/>
          <w:szCs w:val="22"/>
        </w:rPr>
        <w:t xml:space="preserve">61 Boyle AP, Araya CL, </w:t>
      </w:r>
      <w:proofErr w:type="spellStart"/>
      <w:r>
        <w:rPr>
          <w:color w:val="auto"/>
          <w:sz w:val="22"/>
          <w:szCs w:val="22"/>
        </w:rPr>
        <w:t>Brdlik</w:t>
      </w:r>
      <w:proofErr w:type="spellEnd"/>
      <w:r>
        <w:rPr>
          <w:color w:val="auto"/>
          <w:sz w:val="22"/>
          <w:szCs w:val="22"/>
        </w:rPr>
        <w:t xml:space="preserve"> C, </w:t>
      </w:r>
      <w:proofErr w:type="spellStart"/>
      <w:r>
        <w:rPr>
          <w:color w:val="auto"/>
          <w:sz w:val="22"/>
          <w:szCs w:val="22"/>
        </w:rPr>
        <w:t>Cayting</w:t>
      </w:r>
      <w:proofErr w:type="spellEnd"/>
      <w:r>
        <w:rPr>
          <w:color w:val="auto"/>
          <w:sz w:val="22"/>
          <w:szCs w:val="22"/>
        </w:rPr>
        <w:t xml:space="preserve"> P, Cheng C, Cheng Y, </w:t>
      </w:r>
      <w:r>
        <w:rPr>
          <w:i/>
          <w:iCs/>
          <w:color w:val="auto"/>
          <w:sz w:val="22"/>
          <w:szCs w:val="22"/>
        </w:rPr>
        <w:t xml:space="preserve">et al. </w:t>
      </w:r>
      <w:r>
        <w:rPr>
          <w:color w:val="auto"/>
          <w:sz w:val="22"/>
          <w:szCs w:val="22"/>
        </w:rPr>
        <w:t xml:space="preserve">Comparative analysis of regulatory information and circuits across distant species. </w:t>
      </w:r>
      <w:r>
        <w:rPr>
          <w:i/>
          <w:iCs/>
          <w:color w:val="auto"/>
          <w:sz w:val="22"/>
          <w:szCs w:val="22"/>
        </w:rPr>
        <w:t xml:space="preserve">Nature </w:t>
      </w:r>
      <w:proofErr w:type="gramStart"/>
      <w:r>
        <w:rPr>
          <w:color w:val="auto"/>
          <w:sz w:val="22"/>
          <w:szCs w:val="22"/>
        </w:rPr>
        <w:t>2014;</w:t>
      </w:r>
      <w:r>
        <w:rPr>
          <w:b/>
          <w:bCs/>
          <w:color w:val="auto"/>
          <w:sz w:val="22"/>
          <w:szCs w:val="22"/>
        </w:rPr>
        <w:t>512</w:t>
      </w:r>
      <w:r>
        <w:rPr>
          <w:color w:val="auto"/>
          <w:sz w:val="22"/>
          <w:szCs w:val="22"/>
        </w:rPr>
        <w:t>:453</w:t>
      </w:r>
      <w:proofErr w:type="gramEnd"/>
      <w:r>
        <w:rPr>
          <w:color w:val="auto"/>
          <w:sz w:val="22"/>
          <w:szCs w:val="22"/>
        </w:rPr>
        <w:t xml:space="preserve">–6. </w:t>
      </w:r>
    </w:p>
    <w:p w14:paraId="1A2C3F20" w14:textId="77777777" w:rsidR="00320CC7" w:rsidRDefault="00320CC7" w:rsidP="007721FD">
      <w:pPr>
        <w:pStyle w:val="Default"/>
        <w:rPr>
          <w:color w:val="auto"/>
          <w:sz w:val="22"/>
          <w:szCs w:val="22"/>
        </w:rPr>
      </w:pPr>
    </w:p>
    <w:p w14:paraId="73F7F0FF" w14:textId="77777777" w:rsidR="007721FD" w:rsidRDefault="007721FD" w:rsidP="007721FD">
      <w:pPr>
        <w:pStyle w:val="Default"/>
        <w:rPr>
          <w:color w:val="auto"/>
          <w:sz w:val="22"/>
          <w:szCs w:val="22"/>
        </w:rPr>
      </w:pPr>
      <w:r>
        <w:rPr>
          <w:color w:val="auto"/>
          <w:sz w:val="22"/>
          <w:szCs w:val="22"/>
        </w:rPr>
        <w:t xml:space="preserve">62 </w:t>
      </w:r>
      <w:proofErr w:type="spellStart"/>
      <w:r>
        <w:rPr>
          <w:color w:val="auto"/>
          <w:sz w:val="22"/>
          <w:szCs w:val="22"/>
        </w:rPr>
        <w:t>Djebali</w:t>
      </w:r>
      <w:proofErr w:type="spellEnd"/>
      <w:r>
        <w:rPr>
          <w:color w:val="auto"/>
          <w:sz w:val="22"/>
          <w:szCs w:val="22"/>
        </w:rPr>
        <w:t xml:space="preserve"> S, Davis CA, Merkel A, </w:t>
      </w:r>
      <w:proofErr w:type="spellStart"/>
      <w:r>
        <w:rPr>
          <w:color w:val="auto"/>
          <w:sz w:val="22"/>
          <w:szCs w:val="22"/>
        </w:rPr>
        <w:t>Dobin</w:t>
      </w:r>
      <w:proofErr w:type="spellEnd"/>
      <w:r>
        <w:rPr>
          <w:color w:val="auto"/>
          <w:sz w:val="22"/>
          <w:szCs w:val="22"/>
        </w:rPr>
        <w:t xml:space="preserve"> A, </w:t>
      </w:r>
      <w:proofErr w:type="spellStart"/>
      <w:r>
        <w:rPr>
          <w:color w:val="auto"/>
          <w:sz w:val="22"/>
          <w:szCs w:val="22"/>
        </w:rPr>
        <w:t>Lassmann</w:t>
      </w:r>
      <w:proofErr w:type="spellEnd"/>
      <w:r>
        <w:rPr>
          <w:color w:val="auto"/>
          <w:sz w:val="22"/>
          <w:szCs w:val="22"/>
        </w:rPr>
        <w:t xml:space="preserve"> T, Mortazavi A, </w:t>
      </w:r>
      <w:r>
        <w:rPr>
          <w:i/>
          <w:iCs/>
          <w:color w:val="auto"/>
          <w:sz w:val="22"/>
          <w:szCs w:val="22"/>
        </w:rPr>
        <w:t xml:space="preserve">et al. </w:t>
      </w:r>
      <w:r>
        <w:rPr>
          <w:color w:val="auto"/>
          <w:sz w:val="22"/>
          <w:szCs w:val="22"/>
        </w:rPr>
        <w:t xml:space="preserve">Landscape of transcription in human cells. </w:t>
      </w:r>
      <w:r>
        <w:rPr>
          <w:i/>
          <w:iCs/>
          <w:color w:val="auto"/>
          <w:sz w:val="22"/>
          <w:szCs w:val="22"/>
        </w:rPr>
        <w:t xml:space="preserve">Nature </w:t>
      </w:r>
      <w:proofErr w:type="gramStart"/>
      <w:r>
        <w:rPr>
          <w:color w:val="auto"/>
          <w:sz w:val="22"/>
          <w:szCs w:val="22"/>
        </w:rPr>
        <w:t>2012;</w:t>
      </w:r>
      <w:r>
        <w:rPr>
          <w:b/>
          <w:bCs/>
          <w:color w:val="auto"/>
          <w:sz w:val="22"/>
          <w:szCs w:val="22"/>
        </w:rPr>
        <w:t>489</w:t>
      </w:r>
      <w:r>
        <w:rPr>
          <w:color w:val="auto"/>
          <w:sz w:val="22"/>
          <w:szCs w:val="22"/>
        </w:rPr>
        <w:t>:101</w:t>
      </w:r>
      <w:proofErr w:type="gramEnd"/>
      <w:r>
        <w:rPr>
          <w:color w:val="auto"/>
          <w:sz w:val="22"/>
          <w:szCs w:val="22"/>
        </w:rPr>
        <w:t xml:space="preserve">–8. </w:t>
      </w:r>
    </w:p>
    <w:p w14:paraId="45F5BE09" w14:textId="77777777" w:rsidR="00320CC7" w:rsidRDefault="00320CC7" w:rsidP="007721FD">
      <w:pPr>
        <w:pStyle w:val="Default"/>
        <w:rPr>
          <w:color w:val="auto"/>
          <w:sz w:val="22"/>
          <w:szCs w:val="22"/>
        </w:rPr>
      </w:pPr>
    </w:p>
    <w:p w14:paraId="51B0C969" w14:textId="747BF532" w:rsidR="007721FD" w:rsidRDefault="007721FD" w:rsidP="007721FD">
      <w:pPr>
        <w:pStyle w:val="Default"/>
        <w:rPr>
          <w:color w:val="auto"/>
          <w:sz w:val="22"/>
          <w:szCs w:val="22"/>
        </w:rPr>
      </w:pPr>
      <w:r>
        <w:rPr>
          <w:color w:val="auto"/>
          <w:sz w:val="22"/>
          <w:szCs w:val="22"/>
        </w:rPr>
        <w:t xml:space="preserve">63 Wang D, Liu S, </w:t>
      </w:r>
      <w:proofErr w:type="spellStart"/>
      <w:r>
        <w:rPr>
          <w:color w:val="auto"/>
          <w:sz w:val="22"/>
          <w:szCs w:val="22"/>
        </w:rPr>
        <w:t>Warrell</w:t>
      </w:r>
      <w:proofErr w:type="spellEnd"/>
      <w:r>
        <w:rPr>
          <w:color w:val="auto"/>
          <w:sz w:val="22"/>
          <w:szCs w:val="22"/>
        </w:rPr>
        <w:t xml:space="preserve"> J, Won H, Shi X, Navarro FCP, </w:t>
      </w:r>
      <w:r>
        <w:rPr>
          <w:i/>
          <w:iCs/>
          <w:color w:val="auto"/>
          <w:sz w:val="22"/>
          <w:szCs w:val="22"/>
        </w:rPr>
        <w:t xml:space="preserve">et al. </w:t>
      </w:r>
      <w:r>
        <w:rPr>
          <w:color w:val="auto"/>
          <w:sz w:val="22"/>
          <w:szCs w:val="22"/>
        </w:rPr>
        <w:t xml:space="preserve">Comprehensive functional genomic resource and integrative model for the human brain. </w:t>
      </w:r>
      <w:r>
        <w:rPr>
          <w:i/>
          <w:iCs/>
          <w:color w:val="auto"/>
          <w:sz w:val="22"/>
          <w:szCs w:val="22"/>
        </w:rPr>
        <w:t xml:space="preserve">Science </w:t>
      </w:r>
      <w:r>
        <w:rPr>
          <w:color w:val="auto"/>
          <w:sz w:val="22"/>
          <w:szCs w:val="22"/>
        </w:rPr>
        <w:t>2018;</w:t>
      </w:r>
      <w:r>
        <w:rPr>
          <w:b/>
          <w:bCs/>
          <w:color w:val="auto"/>
          <w:sz w:val="22"/>
          <w:szCs w:val="22"/>
        </w:rPr>
        <w:t>362.</w:t>
      </w:r>
      <w:r>
        <w:rPr>
          <w:color w:val="auto"/>
          <w:sz w:val="22"/>
          <w:szCs w:val="22"/>
        </w:rPr>
        <w:t xml:space="preserve">: </w:t>
      </w:r>
      <w:hyperlink r:id="rId12" w:history="1">
        <w:r w:rsidRPr="00F61221">
          <w:rPr>
            <w:rStyle w:val="Hyperlink"/>
            <w:sz w:val="22"/>
            <w:szCs w:val="22"/>
          </w:rPr>
          <w:t>https://doi.org/10.1126/science.aat8464</w:t>
        </w:r>
      </w:hyperlink>
      <w:r>
        <w:rPr>
          <w:color w:val="auto"/>
          <w:sz w:val="22"/>
          <w:szCs w:val="22"/>
        </w:rPr>
        <w:t>.</w:t>
      </w:r>
    </w:p>
    <w:p w14:paraId="25773634" w14:textId="77777777" w:rsidR="00320CC7" w:rsidRDefault="00320CC7" w:rsidP="007721FD">
      <w:pPr>
        <w:pStyle w:val="Default"/>
      </w:pPr>
    </w:p>
    <w:p w14:paraId="062BB058" w14:textId="77777777" w:rsidR="007721FD" w:rsidRDefault="007721FD" w:rsidP="007721FD">
      <w:pPr>
        <w:pStyle w:val="Default"/>
        <w:rPr>
          <w:color w:val="auto"/>
          <w:sz w:val="22"/>
          <w:szCs w:val="22"/>
        </w:rPr>
      </w:pPr>
      <w:r>
        <w:rPr>
          <w:color w:val="auto"/>
          <w:sz w:val="22"/>
          <w:szCs w:val="22"/>
        </w:rPr>
        <w:t xml:space="preserve">64 Chen Z, Zhang J, Liu J, Dai Y, Lee D, Min MR, </w:t>
      </w:r>
      <w:r>
        <w:rPr>
          <w:i/>
          <w:iCs/>
          <w:color w:val="auto"/>
          <w:sz w:val="22"/>
          <w:szCs w:val="22"/>
        </w:rPr>
        <w:t xml:space="preserve">et al. </w:t>
      </w:r>
      <w:r>
        <w:rPr>
          <w:color w:val="auto"/>
          <w:sz w:val="22"/>
          <w:szCs w:val="22"/>
        </w:rPr>
        <w:t xml:space="preserve">DECODE: a Deep-learning framework for Condensing enhancers and refining boundaries with large-scale functional assays. </w:t>
      </w:r>
      <w:r>
        <w:rPr>
          <w:i/>
          <w:iCs/>
          <w:color w:val="auto"/>
          <w:sz w:val="22"/>
          <w:szCs w:val="22"/>
        </w:rPr>
        <w:t xml:space="preserve">Bioinformatics </w:t>
      </w:r>
      <w:r>
        <w:rPr>
          <w:color w:val="auto"/>
          <w:sz w:val="22"/>
          <w:szCs w:val="22"/>
        </w:rPr>
        <w:t>2021;</w:t>
      </w:r>
      <w:proofErr w:type="gramStart"/>
      <w:r>
        <w:rPr>
          <w:b/>
          <w:bCs/>
          <w:color w:val="auto"/>
          <w:sz w:val="22"/>
          <w:szCs w:val="22"/>
        </w:rPr>
        <w:t>37</w:t>
      </w:r>
      <w:r>
        <w:rPr>
          <w:color w:val="auto"/>
          <w:sz w:val="22"/>
          <w:szCs w:val="22"/>
        </w:rPr>
        <w:t>:i</w:t>
      </w:r>
      <w:proofErr w:type="gramEnd"/>
      <w:r>
        <w:rPr>
          <w:color w:val="auto"/>
          <w:sz w:val="22"/>
          <w:szCs w:val="22"/>
        </w:rPr>
        <w:t xml:space="preserve">280–8. </w:t>
      </w:r>
    </w:p>
    <w:p w14:paraId="35DFFAFE" w14:textId="77777777" w:rsidR="00320CC7" w:rsidRDefault="00320CC7" w:rsidP="007721FD">
      <w:pPr>
        <w:pStyle w:val="Default"/>
        <w:rPr>
          <w:color w:val="auto"/>
          <w:sz w:val="22"/>
          <w:szCs w:val="22"/>
        </w:rPr>
      </w:pPr>
    </w:p>
    <w:p w14:paraId="5518C25C" w14:textId="77777777" w:rsidR="007721FD" w:rsidRDefault="007721FD" w:rsidP="007721FD">
      <w:pPr>
        <w:pStyle w:val="Default"/>
        <w:rPr>
          <w:color w:val="auto"/>
          <w:sz w:val="22"/>
          <w:szCs w:val="22"/>
        </w:rPr>
      </w:pPr>
      <w:r>
        <w:rPr>
          <w:color w:val="auto"/>
          <w:sz w:val="22"/>
          <w:szCs w:val="22"/>
        </w:rPr>
        <w:t xml:space="preserve">65 Tang X, Qian B, Gao R, Chen J, Chen X, Gerstein MB. </w:t>
      </w:r>
      <w:proofErr w:type="spellStart"/>
      <w:r>
        <w:rPr>
          <w:color w:val="auto"/>
          <w:sz w:val="22"/>
          <w:szCs w:val="22"/>
        </w:rPr>
        <w:t>BioCoder</w:t>
      </w:r>
      <w:proofErr w:type="spellEnd"/>
      <w:r>
        <w:rPr>
          <w:color w:val="auto"/>
          <w:sz w:val="22"/>
          <w:szCs w:val="22"/>
        </w:rPr>
        <w:t xml:space="preserve">: a benchmark for bioinformatics code generation with large language models. </w:t>
      </w:r>
      <w:r>
        <w:rPr>
          <w:i/>
          <w:iCs/>
          <w:color w:val="auto"/>
          <w:sz w:val="22"/>
          <w:szCs w:val="22"/>
        </w:rPr>
        <w:t xml:space="preserve">Bioinformatics </w:t>
      </w:r>
      <w:r>
        <w:rPr>
          <w:color w:val="auto"/>
          <w:sz w:val="22"/>
          <w:szCs w:val="22"/>
        </w:rPr>
        <w:t>2024;</w:t>
      </w:r>
      <w:proofErr w:type="gramStart"/>
      <w:r>
        <w:rPr>
          <w:b/>
          <w:bCs/>
          <w:color w:val="auto"/>
          <w:sz w:val="22"/>
          <w:szCs w:val="22"/>
        </w:rPr>
        <w:t>40</w:t>
      </w:r>
      <w:r>
        <w:rPr>
          <w:color w:val="auto"/>
          <w:sz w:val="22"/>
          <w:szCs w:val="22"/>
        </w:rPr>
        <w:t>:i</w:t>
      </w:r>
      <w:proofErr w:type="gramEnd"/>
      <w:r>
        <w:rPr>
          <w:color w:val="auto"/>
          <w:sz w:val="22"/>
          <w:szCs w:val="22"/>
        </w:rPr>
        <w:t xml:space="preserve">266–76. </w:t>
      </w:r>
    </w:p>
    <w:p w14:paraId="3610605E" w14:textId="77777777" w:rsidR="00320CC7" w:rsidRDefault="00320CC7" w:rsidP="007721FD">
      <w:pPr>
        <w:pStyle w:val="Default"/>
        <w:rPr>
          <w:color w:val="auto"/>
          <w:sz w:val="22"/>
          <w:szCs w:val="22"/>
        </w:rPr>
      </w:pPr>
    </w:p>
    <w:p w14:paraId="31E52B93" w14:textId="548A1F2F" w:rsidR="007721FD" w:rsidRDefault="007721FD" w:rsidP="007721FD">
      <w:pPr>
        <w:pStyle w:val="Default"/>
        <w:rPr>
          <w:color w:val="auto"/>
          <w:sz w:val="22"/>
          <w:szCs w:val="22"/>
        </w:rPr>
      </w:pPr>
      <w:r>
        <w:rPr>
          <w:color w:val="auto"/>
          <w:sz w:val="22"/>
          <w:szCs w:val="22"/>
        </w:rPr>
        <w:t xml:space="preserve">66 Tang X, Tran A, Tan J, Gerstein MB. </w:t>
      </w:r>
      <w:proofErr w:type="spellStart"/>
      <w:r>
        <w:rPr>
          <w:color w:val="auto"/>
          <w:sz w:val="22"/>
          <w:szCs w:val="22"/>
        </w:rPr>
        <w:t>MolLM</w:t>
      </w:r>
      <w:proofErr w:type="spellEnd"/>
      <w:r>
        <w:rPr>
          <w:color w:val="auto"/>
          <w:sz w:val="22"/>
          <w:szCs w:val="22"/>
        </w:rPr>
        <w:t xml:space="preserve">: A Unified Language Model for Integrating Biomedical Text with 2D and 3D Molecular Representations. </w:t>
      </w:r>
      <w:proofErr w:type="spellStart"/>
      <w:r>
        <w:rPr>
          <w:i/>
          <w:iCs/>
          <w:color w:val="auto"/>
          <w:sz w:val="22"/>
          <w:szCs w:val="22"/>
        </w:rPr>
        <w:t>bioRxiv</w:t>
      </w:r>
      <w:proofErr w:type="spellEnd"/>
      <w:r>
        <w:rPr>
          <w:i/>
          <w:iCs/>
          <w:color w:val="auto"/>
          <w:sz w:val="22"/>
          <w:szCs w:val="22"/>
        </w:rPr>
        <w:t xml:space="preserve"> </w:t>
      </w:r>
      <w:r>
        <w:rPr>
          <w:color w:val="auto"/>
          <w:sz w:val="22"/>
          <w:szCs w:val="22"/>
        </w:rPr>
        <w:t xml:space="preserve">2024:2023.11.25.568656. </w:t>
      </w:r>
      <w:hyperlink r:id="rId13" w:history="1">
        <w:r w:rsidR="00320CC7" w:rsidRPr="00F61221">
          <w:rPr>
            <w:rStyle w:val="Hyperlink"/>
            <w:sz w:val="22"/>
            <w:szCs w:val="22"/>
          </w:rPr>
          <w:t>https://doi.org/10.1101/2023.11.25.568656</w:t>
        </w:r>
      </w:hyperlink>
      <w:r>
        <w:rPr>
          <w:color w:val="auto"/>
          <w:sz w:val="22"/>
          <w:szCs w:val="22"/>
        </w:rPr>
        <w:t xml:space="preserve">. </w:t>
      </w:r>
    </w:p>
    <w:p w14:paraId="1D3C6E11" w14:textId="77777777" w:rsidR="00320CC7" w:rsidRDefault="00320CC7" w:rsidP="007721FD">
      <w:pPr>
        <w:pStyle w:val="Default"/>
        <w:rPr>
          <w:color w:val="auto"/>
          <w:sz w:val="22"/>
          <w:szCs w:val="22"/>
        </w:rPr>
      </w:pPr>
    </w:p>
    <w:p w14:paraId="3FC56C50" w14:textId="77777777" w:rsidR="007721FD" w:rsidRDefault="007721FD" w:rsidP="007721FD">
      <w:pPr>
        <w:pStyle w:val="Default"/>
        <w:rPr>
          <w:color w:val="auto"/>
          <w:sz w:val="22"/>
          <w:szCs w:val="22"/>
        </w:rPr>
      </w:pPr>
      <w:r>
        <w:rPr>
          <w:color w:val="auto"/>
          <w:sz w:val="22"/>
          <w:szCs w:val="22"/>
        </w:rPr>
        <w:t xml:space="preserve">67 Tang X, Zou A, Zhang Z, Li Z, Zhao Y, Zhang X, </w:t>
      </w:r>
      <w:r>
        <w:rPr>
          <w:i/>
          <w:iCs/>
          <w:color w:val="auto"/>
          <w:sz w:val="22"/>
          <w:szCs w:val="22"/>
        </w:rPr>
        <w:t xml:space="preserve">et al. </w:t>
      </w:r>
      <w:proofErr w:type="spellStart"/>
      <w:r>
        <w:rPr>
          <w:color w:val="auto"/>
          <w:sz w:val="22"/>
          <w:szCs w:val="22"/>
        </w:rPr>
        <w:t>MedAgents</w:t>
      </w:r>
      <w:proofErr w:type="spellEnd"/>
      <w:r>
        <w:rPr>
          <w:color w:val="auto"/>
          <w:sz w:val="22"/>
          <w:szCs w:val="22"/>
        </w:rPr>
        <w:t xml:space="preserve">: Large Language Models as Collaborators for Zero-Shot Medical Reasoning. Presented at the Findings of the Association for Computational Linguistics ACL 2024, Bangkok, Thailand and virtual meeting. </w:t>
      </w:r>
    </w:p>
    <w:p w14:paraId="36A9B6B8" w14:textId="77777777" w:rsidR="00320CC7" w:rsidRDefault="00320CC7" w:rsidP="007721FD">
      <w:pPr>
        <w:pStyle w:val="Default"/>
        <w:rPr>
          <w:color w:val="auto"/>
          <w:sz w:val="22"/>
          <w:szCs w:val="22"/>
        </w:rPr>
      </w:pPr>
    </w:p>
    <w:p w14:paraId="13D8FE99" w14:textId="454A8A86" w:rsidR="007721FD" w:rsidRDefault="007721FD" w:rsidP="007721FD">
      <w:pPr>
        <w:pStyle w:val="Default"/>
        <w:rPr>
          <w:color w:val="auto"/>
          <w:sz w:val="22"/>
          <w:szCs w:val="22"/>
        </w:rPr>
      </w:pPr>
      <w:r>
        <w:rPr>
          <w:color w:val="auto"/>
          <w:sz w:val="22"/>
          <w:szCs w:val="22"/>
        </w:rPr>
        <w:t xml:space="preserve">68 Tang X, Liu Y, Cai Z, Shao Y, Lu J, Zhang Y, </w:t>
      </w:r>
      <w:r>
        <w:rPr>
          <w:i/>
          <w:iCs/>
          <w:color w:val="auto"/>
          <w:sz w:val="22"/>
          <w:szCs w:val="22"/>
        </w:rPr>
        <w:t xml:space="preserve">et al. </w:t>
      </w:r>
      <w:r>
        <w:rPr>
          <w:color w:val="auto"/>
          <w:sz w:val="22"/>
          <w:szCs w:val="22"/>
        </w:rPr>
        <w:t xml:space="preserve">ML-bench: Evaluating Large Language Models and agents for machine learning tasks on repository-level code. </w:t>
      </w:r>
      <w:proofErr w:type="spellStart"/>
      <w:r>
        <w:rPr>
          <w:i/>
          <w:iCs/>
          <w:color w:val="auto"/>
          <w:sz w:val="22"/>
          <w:szCs w:val="22"/>
        </w:rPr>
        <w:t>arXiv</w:t>
      </w:r>
      <w:proofErr w:type="spellEnd"/>
      <w:r>
        <w:rPr>
          <w:i/>
          <w:iCs/>
          <w:color w:val="auto"/>
          <w:sz w:val="22"/>
          <w:szCs w:val="22"/>
        </w:rPr>
        <w:t xml:space="preserve"> [</w:t>
      </w:r>
      <w:proofErr w:type="spellStart"/>
      <w:r>
        <w:rPr>
          <w:i/>
          <w:iCs/>
          <w:color w:val="auto"/>
          <w:sz w:val="22"/>
          <w:szCs w:val="22"/>
        </w:rPr>
        <w:t>csCL</w:t>
      </w:r>
      <w:proofErr w:type="spellEnd"/>
      <w:r>
        <w:rPr>
          <w:i/>
          <w:iCs/>
          <w:color w:val="auto"/>
          <w:sz w:val="22"/>
          <w:szCs w:val="22"/>
        </w:rPr>
        <w:t xml:space="preserve">] </w:t>
      </w:r>
      <w:r>
        <w:rPr>
          <w:color w:val="auto"/>
          <w:sz w:val="22"/>
          <w:szCs w:val="22"/>
        </w:rPr>
        <w:t xml:space="preserve">2023. </w:t>
      </w:r>
      <w:hyperlink r:id="rId14" w:history="1">
        <w:r w:rsidR="00320CC7" w:rsidRPr="00F61221">
          <w:rPr>
            <w:rStyle w:val="Hyperlink"/>
            <w:sz w:val="22"/>
            <w:szCs w:val="22"/>
          </w:rPr>
          <w:t>https://doi.org/10.48550/ARXIV.2311.09835</w:t>
        </w:r>
      </w:hyperlink>
      <w:r>
        <w:rPr>
          <w:color w:val="auto"/>
          <w:sz w:val="22"/>
          <w:szCs w:val="22"/>
        </w:rPr>
        <w:t xml:space="preserve">. </w:t>
      </w:r>
    </w:p>
    <w:p w14:paraId="7A7641FE" w14:textId="77777777" w:rsidR="00320CC7" w:rsidRDefault="00320CC7" w:rsidP="007721FD">
      <w:pPr>
        <w:pStyle w:val="Default"/>
        <w:rPr>
          <w:color w:val="auto"/>
          <w:sz w:val="22"/>
          <w:szCs w:val="22"/>
        </w:rPr>
      </w:pPr>
    </w:p>
    <w:p w14:paraId="06ABFCA4" w14:textId="77777777" w:rsidR="007721FD" w:rsidRDefault="007721FD" w:rsidP="007721FD">
      <w:pPr>
        <w:pStyle w:val="Default"/>
        <w:rPr>
          <w:color w:val="auto"/>
          <w:sz w:val="22"/>
          <w:szCs w:val="22"/>
        </w:rPr>
      </w:pPr>
      <w:r>
        <w:rPr>
          <w:color w:val="auto"/>
          <w:sz w:val="22"/>
          <w:szCs w:val="22"/>
        </w:rPr>
        <w:t xml:space="preserve">69 Tang X, Zong Y, Phang J, Zhao Y, Zhou W, Cohan A, </w:t>
      </w:r>
      <w:r>
        <w:rPr>
          <w:i/>
          <w:iCs/>
          <w:color w:val="auto"/>
          <w:sz w:val="22"/>
          <w:szCs w:val="22"/>
        </w:rPr>
        <w:t xml:space="preserve">et al. </w:t>
      </w:r>
      <w:proofErr w:type="spellStart"/>
      <w:r>
        <w:rPr>
          <w:color w:val="auto"/>
          <w:sz w:val="22"/>
          <w:szCs w:val="22"/>
        </w:rPr>
        <w:t>Struc</w:t>
      </w:r>
      <w:proofErr w:type="spellEnd"/>
      <w:r>
        <w:rPr>
          <w:color w:val="auto"/>
          <w:sz w:val="22"/>
          <w:szCs w:val="22"/>
        </w:rPr>
        <w:t xml:space="preserve">-Bench: Are Large Language Models Good at Generating Complex Structured Tabular Data? Presented at the Proceedings of the 2024 Conference of the North American Chapter of the Association for </w:t>
      </w:r>
      <w:r>
        <w:rPr>
          <w:color w:val="auto"/>
          <w:sz w:val="22"/>
          <w:szCs w:val="22"/>
        </w:rPr>
        <w:lastRenderedPageBreak/>
        <w:t xml:space="preserve">Computational Linguistics: Human Language Technologies (Volume 2: Short Papers), Mexico City, Mexico. </w:t>
      </w:r>
    </w:p>
    <w:p w14:paraId="495929A3" w14:textId="77777777" w:rsidR="00320CC7" w:rsidRDefault="00320CC7" w:rsidP="007721FD">
      <w:pPr>
        <w:pStyle w:val="Default"/>
        <w:rPr>
          <w:color w:val="auto"/>
          <w:sz w:val="22"/>
          <w:szCs w:val="22"/>
        </w:rPr>
      </w:pPr>
    </w:p>
    <w:p w14:paraId="585F5AFA" w14:textId="0F07D6E1" w:rsidR="007721FD" w:rsidRPr="007721FD" w:rsidRDefault="007721FD" w:rsidP="007721FD">
      <w:pPr>
        <w:pStyle w:val="Default"/>
        <w:rPr>
          <w:color w:val="auto"/>
          <w:sz w:val="22"/>
          <w:szCs w:val="22"/>
        </w:rPr>
      </w:pPr>
      <w:r>
        <w:rPr>
          <w:color w:val="auto"/>
          <w:sz w:val="22"/>
          <w:szCs w:val="22"/>
        </w:rPr>
        <w:t xml:space="preserve">70 Frank M, Ni P, Jensen M, Gerstein MB. Leveraging a large language model to predict protein phase transition: A physical, multiscale, and interpretable approach. </w:t>
      </w:r>
      <w:r>
        <w:rPr>
          <w:i/>
          <w:iCs/>
          <w:color w:val="auto"/>
          <w:sz w:val="22"/>
          <w:szCs w:val="22"/>
        </w:rPr>
        <w:t xml:space="preserve">Proc Natl </w:t>
      </w:r>
      <w:proofErr w:type="spellStart"/>
      <w:r>
        <w:rPr>
          <w:i/>
          <w:iCs/>
          <w:color w:val="auto"/>
          <w:sz w:val="22"/>
          <w:szCs w:val="22"/>
        </w:rPr>
        <w:t>Acad</w:t>
      </w:r>
      <w:proofErr w:type="spellEnd"/>
      <w:r>
        <w:rPr>
          <w:i/>
          <w:iCs/>
          <w:color w:val="auto"/>
          <w:sz w:val="22"/>
          <w:szCs w:val="22"/>
        </w:rPr>
        <w:t xml:space="preserve"> Sci U S A </w:t>
      </w:r>
      <w:r>
        <w:rPr>
          <w:color w:val="auto"/>
          <w:sz w:val="22"/>
          <w:szCs w:val="22"/>
        </w:rPr>
        <w:t>2024;</w:t>
      </w:r>
      <w:proofErr w:type="gramStart"/>
      <w:r>
        <w:rPr>
          <w:b/>
          <w:bCs/>
          <w:color w:val="auto"/>
          <w:sz w:val="22"/>
          <w:szCs w:val="22"/>
        </w:rPr>
        <w:t>121</w:t>
      </w:r>
      <w:r>
        <w:rPr>
          <w:color w:val="auto"/>
          <w:sz w:val="22"/>
          <w:szCs w:val="22"/>
        </w:rPr>
        <w:t>:e</w:t>
      </w:r>
      <w:proofErr w:type="gramEnd"/>
      <w:r>
        <w:rPr>
          <w:color w:val="auto"/>
          <w:sz w:val="22"/>
          <w:szCs w:val="22"/>
        </w:rPr>
        <w:t>2320510121.</w:t>
      </w:r>
    </w:p>
    <w:sectPr w:rsidR="007721FD" w:rsidRPr="00772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6816" w14:textId="77777777" w:rsidR="00670B66" w:rsidRDefault="00670B66" w:rsidP="007721FD">
      <w:pPr>
        <w:spacing w:after="0" w:line="240" w:lineRule="auto"/>
      </w:pPr>
      <w:r>
        <w:separator/>
      </w:r>
    </w:p>
  </w:endnote>
  <w:endnote w:type="continuationSeparator" w:id="0">
    <w:p w14:paraId="0266A771" w14:textId="77777777" w:rsidR="00670B66" w:rsidRDefault="00670B66" w:rsidP="0077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6EDB" w14:textId="77777777" w:rsidR="00670B66" w:rsidRDefault="00670B66" w:rsidP="007721FD">
      <w:pPr>
        <w:spacing w:after="0" w:line="240" w:lineRule="auto"/>
      </w:pPr>
      <w:r>
        <w:separator/>
      </w:r>
    </w:p>
  </w:footnote>
  <w:footnote w:type="continuationSeparator" w:id="0">
    <w:p w14:paraId="7DDA8B5D" w14:textId="77777777" w:rsidR="00670B66" w:rsidRDefault="00670B66" w:rsidP="00772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FD"/>
    <w:rsid w:val="00282DA7"/>
    <w:rsid w:val="00320CC7"/>
    <w:rsid w:val="00352513"/>
    <w:rsid w:val="00417439"/>
    <w:rsid w:val="00654A7D"/>
    <w:rsid w:val="00670B66"/>
    <w:rsid w:val="007721FD"/>
    <w:rsid w:val="00B307F0"/>
    <w:rsid w:val="00BE2470"/>
    <w:rsid w:val="00D755C0"/>
    <w:rsid w:val="00D8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18DA6"/>
  <w15:chartTrackingRefBased/>
  <w15:docId w15:val="{2CF34B74-5100-1347-AC38-1368CB21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1FD"/>
    <w:rPr>
      <w:rFonts w:eastAsiaTheme="majorEastAsia" w:cstheme="majorBidi"/>
      <w:color w:val="272727" w:themeColor="text1" w:themeTint="D8"/>
    </w:rPr>
  </w:style>
  <w:style w:type="paragraph" w:styleId="Title">
    <w:name w:val="Title"/>
    <w:basedOn w:val="Normal"/>
    <w:next w:val="Normal"/>
    <w:link w:val="TitleChar"/>
    <w:uiPriority w:val="10"/>
    <w:qFormat/>
    <w:rsid w:val="0077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1FD"/>
    <w:pPr>
      <w:spacing w:before="160"/>
      <w:jc w:val="center"/>
    </w:pPr>
    <w:rPr>
      <w:i/>
      <w:iCs/>
      <w:color w:val="404040" w:themeColor="text1" w:themeTint="BF"/>
    </w:rPr>
  </w:style>
  <w:style w:type="character" w:customStyle="1" w:styleId="QuoteChar">
    <w:name w:val="Quote Char"/>
    <w:basedOn w:val="DefaultParagraphFont"/>
    <w:link w:val="Quote"/>
    <w:uiPriority w:val="29"/>
    <w:rsid w:val="007721FD"/>
    <w:rPr>
      <w:i/>
      <w:iCs/>
      <w:color w:val="404040" w:themeColor="text1" w:themeTint="BF"/>
    </w:rPr>
  </w:style>
  <w:style w:type="paragraph" w:styleId="ListParagraph">
    <w:name w:val="List Paragraph"/>
    <w:basedOn w:val="Normal"/>
    <w:uiPriority w:val="34"/>
    <w:qFormat/>
    <w:rsid w:val="007721FD"/>
    <w:pPr>
      <w:ind w:left="720"/>
      <w:contextualSpacing/>
    </w:pPr>
  </w:style>
  <w:style w:type="character" w:styleId="IntenseEmphasis">
    <w:name w:val="Intense Emphasis"/>
    <w:basedOn w:val="DefaultParagraphFont"/>
    <w:uiPriority w:val="21"/>
    <w:qFormat/>
    <w:rsid w:val="007721FD"/>
    <w:rPr>
      <w:i/>
      <w:iCs/>
      <w:color w:val="0F4761" w:themeColor="accent1" w:themeShade="BF"/>
    </w:rPr>
  </w:style>
  <w:style w:type="paragraph" w:styleId="IntenseQuote">
    <w:name w:val="Intense Quote"/>
    <w:basedOn w:val="Normal"/>
    <w:next w:val="Normal"/>
    <w:link w:val="IntenseQuoteChar"/>
    <w:uiPriority w:val="30"/>
    <w:qFormat/>
    <w:rsid w:val="0077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1FD"/>
    <w:rPr>
      <w:i/>
      <w:iCs/>
      <w:color w:val="0F4761" w:themeColor="accent1" w:themeShade="BF"/>
    </w:rPr>
  </w:style>
  <w:style w:type="character" w:styleId="IntenseReference">
    <w:name w:val="Intense Reference"/>
    <w:basedOn w:val="DefaultParagraphFont"/>
    <w:uiPriority w:val="32"/>
    <w:qFormat/>
    <w:rsid w:val="007721FD"/>
    <w:rPr>
      <w:b/>
      <w:bCs/>
      <w:smallCaps/>
      <w:color w:val="0F4761" w:themeColor="accent1" w:themeShade="BF"/>
      <w:spacing w:val="5"/>
    </w:rPr>
  </w:style>
  <w:style w:type="paragraph" w:customStyle="1" w:styleId="Default">
    <w:name w:val="Default"/>
    <w:rsid w:val="007721FD"/>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7721FD"/>
    <w:rPr>
      <w:color w:val="467886" w:themeColor="hyperlink"/>
      <w:u w:val="single"/>
    </w:rPr>
  </w:style>
  <w:style w:type="character" w:styleId="UnresolvedMention">
    <w:name w:val="Unresolved Mention"/>
    <w:basedOn w:val="DefaultParagraphFont"/>
    <w:uiPriority w:val="99"/>
    <w:semiHidden/>
    <w:unhideWhenUsed/>
    <w:rsid w:val="007721FD"/>
    <w:rPr>
      <w:color w:val="605E5C"/>
      <w:shd w:val="clear" w:color="auto" w:fill="E1DFDD"/>
    </w:rPr>
  </w:style>
  <w:style w:type="paragraph" w:styleId="Header">
    <w:name w:val="header"/>
    <w:basedOn w:val="Normal"/>
    <w:link w:val="HeaderChar"/>
    <w:uiPriority w:val="99"/>
    <w:unhideWhenUsed/>
    <w:rsid w:val="0077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1FD"/>
  </w:style>
  <w:style w:type="paragraph" w:styleId="Footer">
    <w:name w:val="footer"/>
    <w:basedOn w:val="Normal"/>
    <w:link w:val="FooterChar"/>
    <w:uiPriority w:val="99"/>
    <w:unhideWhenUsed/>
    <w:rsid w:val="0077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xgen.2021.100085" TargetMode="External"/><Relationship Id="rId13" Type="http://schemas.openxmlformats.org/officeDocument/2006/relationships/hyperlink" Target="https://doi.org/10.1101/2023.11.25.568656" TargetMode="External"/><Relationship Id="rId3" Type="http://schemas.openxmlformats.org/officeDocument/2006/relationships/webSettings" Target="webSettings.xml"/><Relationship Id="rId7" Type="http://schemas.openxmlformats.org/officeDocument/2006/relationships/hyperlink" Target="https://doi.org/10.1126/science.ade2574" TargetMode="External"/><Relationship Id="rId12" Type="http://schemas.openxmlformats.org/officeDocument/2006/relationships/hyperlink" Target="https://doi.org/10.1126/science.aat846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126/science.abf711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i.org/10.1101/2024.10.12.618009" TargetMode="External"/><Relationship Id="rId4" Type="http://schemas.openxmlformats.org/officeDocument/2006/relationships/footnotes" Target="footnotes.xml"/><Relationship Id="rId9" Type="http://schemas.openxmlformats.org/officeDocument/2006/relationships/hyperlink" Target="https://doi.org/10.1101/2024.09.24.614721" TargetMode="External"/><Relationship Id="rId14" Type="http://schemas.openxmlformats.org/officeDocument/2006/relationships/hyperlink" Target="https://doi.org/10.48550/ARXIV.2311.09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Jensen</dc:creator>
  <cp:keywords/>
  <dc:description/>
  <cp:lastModifiedBy>Matthew Jensen</cp:lastModifiedBy>
  <cp:revision>2</cp:revision>
  <dcterms:created xsi:type="dcterms:W3CDTF">2025-03-06T15:57:00Z</dcterms:created>
  <dcterms:modified xsi:type="dcterms:W3CDTF">2025-03-06T16:08:00Z</dcterms:modified>
</cp:coreProperties>
</file>