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Extensive experience in large-scale single-cell analysis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 have extensive experience in processing large-scale single-cell data. As the lead analysis group in pioneering consortia (e.g., ENCODE, PsychENCODE, and SCORCH), we have processed large scale single-cell data from over 400 brain samples, as recently published in Science. We have already built the BrainSCOPE{pmid:</w:t>
      </w:r>
      <w:r w:rsidDel="00000000" w:rsidR="00000000" w:rsidRPr="00000000">
        <w:rPr>
          <w:rFonts w:ascii="Roboto" w:cs="Roboto" w:eastAsia="Roboto" w:hAnsi="Roboto"/>
          <w:color w:val="212121"/>
          <w:sz w:val="24"/>
          <w:szCs w:val="24"/>
          <w:rtl w:val="0"/>
        </w:rPr>
        <w:t xml:space="preserve">38781369</w:t>
      </w: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resource and released the official PsychENCODE cell-type-specific CREs, which were validated by STARR-seq. We conducted s-LDSC to identify relevant cell types for brain disorders.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Prior experience on building GRNs and assigning TF-to-gene regulatory relationships. </w:t>
      </w:r>
    </w:p>
    <w:p w:rsidR="00000000" w:rsidDel="00000000" w:rsidP="00000000" w:rsidRDefault="00000000" w:rsidRPr="00000000" w14:paraId="00000005">
      <w:pPr>
        <w:rPr>
          <w:i w:val="1"/>
          <w:sz w:val="17"/>
          <w:szCs w:val="17"/>
        </w:rPr>
      </w:pPr>
      <w:r w:rsidDel="00000000" w:rsidR="00000000" w:rsidRPr="00000000">
        <w:rPr>
          <w:rtl w:val="0"/>
        </w:rPr>
        <w:t xml:space="preserve">Our investigator team has been collaborating for years to build the official ENCODE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PsychENCODE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annotation resources for GRN constructions{pmid:</w:t>
      </w:r>
      <w:r w:rsidDel="00000000" w:rsidR="00000000" w:rsidRPr="00000000">
        <w:rPr>
          <w:rFonts w:ascii="Roboto" w:cs="Roboto" w:eastAsia="Roboto" w:hAnsi="Roboto"/>
          <w:color w:val="212121"/>
          <w:sz w:val="24"/>
          <w:szCs w:val="24"/>
          <w:rtl w:val="0"/>
        </w:rPr>
        <w:t xml:space="preserve">38781369</w:t>
      </w:r>
      <w:r w:rsidDel="00000000" w:rsidR="00000000" w:rsidRPr="00000000">
        <w:rPr>
          <w:rtl w:val="0"/>
        </w:rPr>
        <w:t xml:space="preserve">}. By integrating multiple data modalities, including scQTLs {pmid:</w:t>
      </w:r>
      <w:r w:rsidDel="00000000" w:rsidR="00000000" w:rsidRPr="00000000">
        <w:rPr>
          <w:rFonts w:ascii="Roboto" w:cs="Roboto" w:eastAsia="Roboto" w:hAnsi="Roboto"/>
          <w:color w:val="212121"/>
          <w:sz w:val="24"/>
          <w:szCs w:val="24"/>
          <w:rtl w:val="0"/>
        </w:rPr>
        <w:t xml:space="preserve">38781369</w:t>
      </w:r>
      <w:r w:rsidDel="00000000" w:rsidR="00000000" w:rsidRPr="00000000">
        <w:rPr>
          <w:rtl w:val="0"/>
        </w:rPr>
        <w:t xml:space="preserve">}, snATAC-seq, TFbinding sites, and gene co-expression, we constructed GRNs for PFC cell types.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