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Initial cCRE filtering. We developed a machine learning model, called MatchedFilter, that predicts cis-regulatory elements by considering multiple types of histone marks and integrating information about the distribution of each histone mark signal [74]. For example, a ‘peak-valley-peak’ shape of H3K27ac signal is often observed at enhancer regions [75]. This model is based on a support vector machine (SVM) algorithm that has been tested thoroughly and has high accuracy for identifying functional cis-regulatory elements in human (</w:t>
      </w:r>
      <w:r w:rsidDel="00000000" w:rsidR="00000000" w:rsidRPr="00000000">
        <w:rPr>
          <w:b w:val="1"/>
          <w:sz w:val="22"/>
          <w:szCs w:val="22"/>
          <w:rtl w:val="0"/>
        </w:rPr>
        <w:t xml:space="preserve">Figure 8</w:t>
      </w:r>
      <w:r w:rsidDel="00000000" w:rsidR="00000000" w:rsidRPr="00000000">
        <w:rPr>
          <w:sz w:val="22"/>
          <w:szCs w:val="22"/>
          <w:rtl w:val="0"/>
        </w:rPr>
        <w:t xml:space="preserve">). We will use MatchedFilter to identify high-confidence human cCREs.</w:t>
      </w:r>
    </w:p>
    <w:p w:rsidR="00000000" w:rsidDel="00000000" w:rsidP="00000000" w:rsidRDefault="00000000" w:rsidRPr="00000000" w14:paraId="0000000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