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182DB" w14:textId="6657D432" w:rsidR="00166BD5" w:rsidRDefault="00AE70B0" w:rsidP="00AE70B0">
      <w:pPr>
        <w:autoSpaceDE w:val="0"/>
        <w:autoSpaceDN w:val="0"/>
        <w:adjustRightInd w:val="0"/>
        <w:jc w:val="both"/>
        <w:rPr>
          <w:rFonts w:ascii="Arial" w:hAnsi="Arial" w:cs="Arial"/>
          <w:color w:val="000000"/>
          <w:sz w:val="22"/>
          <w:szCs w:val="22"/>
        </w:rPr>
      </w:pPr>
      <w:r w:rsidRPr="00A63C58">
        <w:rPr>
          <w:rFonts w:ascii="Arial" w:hAnsi="Arial" w:cs="Arial"/>
          <w:sz w:val="22"/>
          <w:szCs w:val="22"/>
          <w:u w:val="single"/>
        </w:rPr>
        <w:t>Summariz</w:t>
      </w:r>
      <w:r w:rsidRPr="00A63C58">
        <w:rPr>
          <w:rFonts w:ascii="Arial" w:hAnsi="Arial" w:cs="Arial"/>
          <w:sz w:val="22"/>
          <w:szCs w:val="22"/>
          <w:u w:val="single"/>
        </w:rPr>
        <w:t>ing</w:t>
      </w:r>
      <w:r w:rsidRPr="00A63C58">
        <w:rPr>
          <w:rFonts w:ascii="Arial" w:hAnsi="Arial" w:cs="Arial"/>
          <w:sz w:val="22"/>
          <w:szCs w:val="22"/>
          <w:u w:val="single"/>
        </w:rPr>
        <w:t xml:space="preserve"> known host-viral protein-protein interactions into an online atlas</w:t>
      </w:r>
      <w:r w:rsidRPr="00A63C58">
        <w:rPr>
          <w:rFonts w:ascii="Arial" w:hAnsi="Arial" w:cs="Arial"/>
          <w:b/>
          <w:bCs/>
          <w:color w:val="000000"/>
          <w:sz w:val="22"/>
          <w:szCs w:val="22"/>
        </w:rPr>
        <w:t>:</w:t>
      </w:r>
      <w:r w:rsidRPr="00A63C58">
        <w:rPr>
          <w:rFonts w:ascii="Arial" w:hAnsi="Arial" w:cs="Arial"/>
          <w:color w:val="000000"/>
          <w:sz w:val="22"/>
          <w:szCs w:val="22"/>
        </w:rPr>
        <w:t xml:space="preserve"> We are</w:t>
      </w:r>
      <w:r w:rsidRPr="00A63C58">
        <w:rPr>
          <w:rFonts w:ascii="Arial" w:hAnsi="Arial" w:cs="Arial"/>
          <w:color w:val="000000"/>
          <w:sz w:val="22"/>
          <w:szCs w:val="22"/>
        </w:rPr>
        <w:t xml:space="preserve"> </w:t>
      </w:r>
      <w:r w:rsidRPr="00A63C58">
        <w:rPr>
          <w:rFonts w:ascii="Arial" w:hAnsi="Arial" w:cs="Arial"/>
          <w:color w:val="000000"/>
          <w:sz w:val="22"/>
          <w:szCs w:val="22"/>
        </w:rPr>
        <w:t>strategically positioned to fulfill the</w:t>
      </w:r>
      <w:r w:rsidRPr="00A63C58">
        <w:rPr>
          <w:rFonts w:ascii="Arial" w:hAnsi="Arial" w:cs="Arial"/>
          <w:color w:val="000000"/>
          <w:sz w:val="22"/>
          <w:szCs w:val="22"/>
        </w:rPr>
        <w:t xml:space="preserve"> </w:t>
      </w:r>
      <w:r w:rsidRPr="00A63C58">
        <w:rPr>
          <w:rFonts w:ascii="Arial" w:hAnsi="Arial" w:cs="Arial"/>
          <w:color w:val="000000"/>
          <w:sz w:val="22"/>
          <w:szCs w:val="22"/>
        </w:rPr>
        <w:t>need for an atlas of molecular</w:t>
      </w:r>
      <w:r w:rsidRPr="00A63C58">
        <w:rPr>
          <w:rFonts w:ascii="Arial" w:hAnsi="Arial" w:cs="Arial"/>
          <w:color w:val="000000"/>
          <w:sz w:val="22"/>
          <w:szCs w:val="22"/>
        </w:rPr>
        <w:t xml:space="preserve"> </w:t>
      </w:r>
      <w:r w:rsidRPr="00A63C58">
        <w:rPr>
          <w:rFonts w:ascii="Arial" w:hAnsi="Arial" w:cs="Arial"/>
          <w:color w:val="000000"/>
          <w:sz w:val="22"/>
          <w:szCs w:val="22"/>
        </w:rPr>
        <w:t>interactions in SARS-CoV-2, with the</w:t>
      </w:r>
      <w:r w:rsidRPr="00A63C58">
        <w:rPr>
          <w:rFonts w:ascii="Arial" w:hAnsi="Arial" w:cs="Arial"/>
          <w:color w:val="000000"/>
          <w:sz w:val="22"/>
          <w:szCs w:val="22"/>
        </w:rPr>
        <w:t xml:space="preserve"> </w:t>
      </w:r>
      <w:r w:rsidRPr="00A63C58">
        <w:rPr>
          <w:rFonts w:ascii="Arial" w:hAnsi="Arial" w:cs="Arial"/>
          <w:color w:val="000000"/>
          <w:sz w:val="22"/>
          <w:szCs w:val="22"/>
        </w:rPr>
        <w:t>unique structural and computational</w:t>
      </w:r>
      <w:r w:rsidRPr="00A63C58">
        <w:rPr>
          <w:rFonts w:ascii="Arial" w:hAnsi="Arial" w:cs="Arial"/>
          <w:color w:val="000000"/>
          <w:sz w:val="22"/>
          <w:szCs w:val="22"/>
        </w:rPr>
        <w:t xml:space="preserve"> p</w:t>
      </w:r>
      <w:r w:rsidRPr="00A63C58">
        <w:rPr>
          <w:rFonts w:ascii="Arial" w:hAnsi="Arial" w:cs="Arial"/>
          <w:color w:val="000000"/>
          <w:sz w:val="22"/>
          <w:szCs w:val="22"/>
        </w:rPr>
        <w:t>erspectives afforded by the</w:t>
      </w:r>
      <w:r w:rsidRPr="00A63C58">
        <w:rPr>
          <w:rFonts w:ascii="Arial" w:hAnsi="Arial" w:cs="Arial"/>
          <w:color w:val="000000"/>
          <w:sz w:val="22"/>
          <w:szCs w:val="22"/>
        </w:rPr>
        <w:t xml:space="preserve"> </w:t>
      </w:r>
      <w:r w:rsidRPr="00A63C58">
        <w:rPr>
          <w:rFonts w:ascii="Arial" w:hAnsi="Arial" w:cs="Arial"/>
          <w:color w:val="000000"/>
          <w:sz w:val="22"/>
          <w:szCs w:val="22"/>
        </w:rPr>
        <w:t xml:space="preserve">collaboration between the </w:t>
      </w:r>
      <w:proofErr w:type="spellStart"/>
      <w:r w:rsidRPr="00A63C58">
        <w:rPr>
          <w:rFonts w:ascii="Arial" w:hAnsi="Arial" w:cs="Arial"/>
          <w:color w:val="000000"/>
          <w:sz w:val="22"/>
          <w:szCs w:val="22"/>
        </w:rPr>
        <w:t>Xiong</w:t>
      </w:r>
      <w:proofErr w:type="spellEnd"/>
      <w:r w:rsidRPr="00A63C58">
        <w:rPr>
          <w:rFonts w:ascii="Arial" w:hAnsi="Arial" w:cs="Arial"/>
          <w:color w:val="000000"/>
          <w:sz w:val="22"/>
          <w:szCs w:val="22"/>
        </w:rPr>
        <w:t xml:space="preserve"> and</w:t>
      </w:r>
      <w:r w:rsidRPr="00A63C58">
        <w:rPr>
          <w:rFonts w:ascii="Arial" w:hAnsi="Arial" w:cs="Arial"/>
          <w:color w:val="000000"/>
          <w:sz w:val="22"/>
          <w:szCs w:val="22"/>
        </w:rPr>
        <w:t xml:space="preserve"> </w:t>
      </w:r>
      <w:r w:rsidRPr="00A63C58">
        <w:rPr>
          <w:rFonts w:ascii="Arial" w:hAnsi="Arial" w:cs="Arial"/>
          <w:color w:val="000000"/>
          <w:sz w:val="22"/>
          <w:szCs w:val="22"/>
        </w:rPr>
        <w:t>Gerstein laboratories. Our ongoing</w:t>
      </w:r>
      <w:r w:rsidRPr="00A63C58">
        <w:rPr>
          <w:rFonts w:ascii="Arial" w:hAnsi="Arial" w:cs="Arial"/>
          <w:color w:val="000000"/>
          <w:sz w:val="22"/>
          <w:szCs w:val="22"/>
        </w:rPr>
        <w:t xml:space="preserve"> </w:t>
      </w:r>
      <w:r w:rsidRPr="00A63C58">
        <w:rPr>
          <w:rFonts w:ascii="Arial" w:hAnsi="Arial" w:cs="Arial"/>
          <w:color w:val="000000"/>
          <w:sz w:val="22"/>
          <w:szCs w:val="22"/>
        </w:rPr>
        <w:t>work to unravel HIV host-viral</w:t>
      </w:r>
      <w:r w:rsidRPr="00A63C58">
        <w:rPr>
          <w:rFonts w:ascii="Arial" w:hAnsi="Arial" w:cs="Arial"/>
          <w:color w:val="000000"/>
          <w:sz w:val="22"/>
          <w:szCs w:val="22"/>
        </w:rPr>
        <w:t xml:space="preserve"> </w:t>
      </w:r>
      <w:r w:rsidRPr="00A63C58">
        <w:rPr>
          <w:rFonts w:ascii="Arial" w:hAnsi="Arial" w:cs="Arial"/>
          <w:color w:val="000000"/>
          <w:sz w:val="22"/>
          <w:szCs w:val="22"/>
        </w:rPr>
        <w:t>interactions will provide in</w:t>
      </w:r>
      <w:r w:rsidRPr="00A63C58">
        <w:rPr>
          <w:rFonts w:ascii="Arial" w:hAnsi="Arial" w:cs="Arial"/>
          <w:color w:val="000000"/>
          <w:sz w:val="22"/>
          <w:szCs w:val="22"/>
        </w:rPr>
        <w:t>s</w:t>
      </w:r>
      <w:r w:rsidRPr="00A63C58">
        <w:rPr>
          <w:rFonts w:ascii="Arial" w:hAnsi="Arial" w:cs="Arial"/>
          <w:color w:val="000000"/>
          <w:sz w:val="22"/>
          <w:szCs w:val="22"/>
        </w:rPr>
        <w:t>ights as</w:t>
      </w:r>
      <w:r w:rsidRPr="00A63C58">
        <w:rPr>
          <w:rFonts w:ascii="Arial" w:hAnsi="Arial" w:cs="Arial"/>
          <w:color w:val="000000"/>
          <w:sz w:val="22"/>
          <w:szCs w:val="22"/>
        </w:rPr>
        <w:t xml:space="preserve"> </w:t>
      </w:r>
      <w:r w:rsidRPr="00A63C58">
        <w:rPr>
          <w:rFonts w:ascii="Arial" w:hAnsi="Arial" w:cs="Arial"/>
          <w:color w:val="000000"/>
          <w:sz w:val="22"/>
          <w:szCs w:val="22"/>
        </w:rPr>
        <w:t>HIV is the most well-studied virus and</w:t>
      </w:r>
      <w:r w:rsidRPr="00A63C58">
        <w:rPr>
          <w:rFonts w:ascii="Arial" w:hAnsi="Arial" w:cs="Arial"/>
          <w:color w:val="000000"/>
          <w:sz w:val="22"/>
          <w:szCs w:val="22"/>
        </w:rPr>
        <w:t xml:space="preserve"> </w:t>
      </w:r>
      <w:r w:rsidRPr="00A63C58">
        <w:rPr>
          <w:rFonts w:ascii="Arial" w:hAnsi="Arial" w:cs="Arial"/>
          <w:color w:val="000000"/>
          <w:sz w:val="22"/>
          <w:szCs w:val="22"/>
        </w:rPr>
        <w:t>thus, is a valuable</w:t>
      </w:r>
      <w:r w:rsidRPr="00A63C58">
        <w:rPr>
          <w:rFonts w:ascii="Arial" w:hAnsi="Arial" w:cs="Arial"/>
          <w:color w:val="000000"/>
          <w:sz w:val="22"/>
          <w:szCs w:val="22"/>
        </w:rPr>
        <w:t xml:space="preserve"> </w:t>
      </w:r>
      <w:r w:rsidRPr="00A63C58">
        <w:rPr>
          <w:rFonts w:ascii="Arial" w:hAnsi="Arial" w:cs="Arial"/>
          <w:color w:val="000000"/>
          <w:sz w:val="22"/>
          <w:szCs w:val="22"/>
        </w:rPr>
        <w:t>comparative</w:t>
      </w:r>
      <w:r w:rsidRPr="00A63C58">
        <w:rPr>
          <w:rFonts w:ascii="Arial" w:hAnsi="Arial" w:cs="Arial"/>
          <w:color w:val="000000"/>
          <w:sz w:val="22"/>
          <w:szCs w:val="22"/>
        </w:rPr>
        <w:t xml:space="preserve"> </w:t>
      </w:r>
      <w:r w:rsidRPr="00A63C58">
        <w:rPr>
          <w:rFonts w:ascii="Arial" w:hAnsi="Arial" w:cs="Arial"/>
          <w:color w:val="000000"/>
          <w:sz w:val="22"/>
          <w:szCs w:val="22"/>
        </w:rPr>
        <w:t>resource for understanding</w:t>
      </w:r>
      <w:r w:rsidRPr="00A63C58">
        <w:rPr>
          <w:rFonts w:ascii="Arial" w:hAnsi="Arial" w:cs="Arial"/>
          <w:color w:val="000000"/>
          <w:sz w:val="22"/>
          <w:szCs w:val="22"/>
        </w:rPr>
        <w:t xml:space="preserve"> </w:t>
      </w:r>
      <w:r w:rsidRPr="00A63C58">
        <w:rPr>
          <w:rFonts w:ascii="Arial" w:hAnsi="Arial" w:cs="Arial"/>
          <w:color w:val="000000"/>
          <w:sz w:val="22"/>
          <w:szCs w:val="22"/>
        </w:rPr>
        <w:t>SAR</w:t>
      </w:r>
      <w:r w:rsidRPr="00A63C58">
        <w:rPr>
          <w:rFonts w:ascii="Arial" w:hAnsi="Arial" w:cs="Arial"/>
          <w:color w:val="000000"/>
          <w:sz w:val="22"/>
          <w:szCs w:val="22"/>
        </w:rPr>
        <w:t>-</w:t>
      </w:r>
      <w:r w:rsidRPr="00A63C58">
        <w:rPr>
          <w:rFonts w:ascii="Arial" w:hAnsi="Arial" w:cs="Arial"/>
          <w:color w:val="000000"/>
          <w:sz w:val="22"/>
          <w:szCs w:val="22"/>
        </w:rPr>
        <w:t xml:space="preserve">SCoV-2 </w:t>
      </w:r>
      <w:r w:rsidRPr="00A63C58">
        <w:rPr>
          <w:rFonts w:ascii="Arial" w:hAnsi="Arial" w:cs="Arial"/>
          <w:color w:val="000000"/>
          <w:sz w:val="22"/>
          <w:szCs w:val="22"/>
        </w:rPr>
        <w:t xml:space="preserve">host-viral </w:t>
      </w:r>
      <w:r w:rsidRPr="00A63C58">
        <w:rPr>
          <w:rFonts w:ascii="Arial" w:hAnsi="Arial" w:cs="Arial"/>
          <w:color w:val="000000"/>
          <w:sz w:val="22"/>
          <w:szCs w:val="22"/>
        </w:rPr>
        <w:t>interactions</w:t>
      </w:r>
      <w:r w:rsidR="00A63C58">
        <w:rPr>
          <w:rFonts w:ascii="Arial" w:hAnsi="Arial" w:cs="Arial"/>
          <w:color w:val="000000"/>
          <w:sz w:val="22"/>
          <w:szCs w:val="22"/>
        </w:rPr>
        <w:t xml:space="preserve"> </w:t>
      </w:r>
      <w:r w:rsidR="00A63C58" w:rsidRPr="00A63C58">
        <w:rPr>
          <w:rFonts w:ascii="Arial" w:hAnsi="Arial" w:cs="Arial"/>
          <w:color w:val="000000"/>
          <w:sz w:val="22"/>
          <w:szCs w:val="22"/>
          <w:vertAlign w:val="superscript"/>
        </w:rPr>
        <w:t>1</w:t>
      </w:r>
      <w:r w:rsidRPr="00A63C58">
        <w:rPr>
          <w:rFonts w:ascii="Arial" w:hAnsi="Arial" w:cs="Arial"/>
          <w:color w:val="000000"/>
          <w:sz w:val="22"/>
          <w:szCs w:val="22"/>
        </w:rPr>
        <w:t>. More specifically,</w:t>
      </w:r>
      <w:r w:rsidRPr="00A63C58">
        <w:rPr>
          <w:rFonts w:ascii="Arial" w:hAnsi="Arial" w:cs="Arial"/>
          <w:color w:val="000000"/>
          <w:sz w:val="22"/>
          <w:szCs w:val="22"/>
        </w:rPr>
        <w:t xml:space="preserve"> </w:t>
      </w:r>
      <w:r w:rsidRPr="00A63C58">
        <w:rPr>
          <w:rFonts w:ascii="Arial" w:hAnsi="Arial" w:cs="Arial"/>
          <w:color w:val="000000"/>
          <w:sz w:val="22"/>
          <w:szCs w:val="22"/>
        </w:rPr>
        <w:t>several of the host proteins we have extensively studied</w:t>
      </w:r>
      <w:r w:rsidRPr="00A63C58">
        <w:rPr>
          <w:rFonts w:ascii="Arial" w:hAnsi="Arial" w:cs="Arial"/>
          <w:color w:val="000000"/>
          <w:sz w:val="14"/>
          <w:szCs w:val="14"/>
        </w:rPr>
        <w:t xml:space="preserve">31 </w:t>
      </w:r>
      <w:r w:rsidRPr="00A63C58">
        <w:rPr>
          <w:rFonts w:ascii="Arial" w:hAnsi="Arial" w:cs="Arial"/>
          <w:color w:val="000000"/>
          <w:sz w:val="22"/>
          <w:szCs w:val="22"/>
        </w:rPr>
        <w:t>were identified in a SARS-CoV-2 host</w:t>
      </w:r>
      <w:r w:rsidRPr="00A63C58">
        <w:rPr>
          <w:rFonts w:ascii="Arial" w:hAnsi="Arial" w:cs="Arial"/>
          <w:color w:val="000000"/>
          <w:sz w:val="22"/>
          <w:szCs w:val="22"/>
        </w:rPr>
        <w:t>-viral</w:t>
      </w:r>
      <w:r w:rsidRPr="00A63C58">
        <w:rPr>
          <w:rFonts w:ascii="Arial" w:hAnsi="Arial" w:cs="Arial"/>
          <w:color w:val="000000"/>
          <w:sz w:val="22"/>
          <w:szCs w:val="22"/>
        </w:rPr>
        <w:t xml:space="preserve"> interactom</w:t>
      </w:r>
      <w:r w:rsidR="00A63C58">
        <w:rPr>
          <w:rFonts w:ascii="Arial" w:hAnsi="Arial" w:cs="Arial"/>
          <w:color w:val="000000"/>
          <w:sz w:val="22"/>
          <w:szCs w:val="22"/>
        </w:rPr>
        <w:t xml:space="preserve">e </w:t>
      </w:r>
      <w:r w:rsidR="00A63C58">
        <w:rPr>
          <w:rFonts w:ascii="Arial" w:hAnsi="Arial" w:cs="Arial"/>
          <w:color w:val="000000"/>
          <w:sz w:val="22"/>
          <w:szCs w:val="22"/>
          <w:vertAlign w:val="superscript"/>
        </w:rPr>
        <w:t>2</w:t>
      </w:r>
      <w:r w:rsidRPr="00A63C58">
        <w:rPr>
          <w:rFonts w:ascii="Arial" w:hAnsi="Arial" w:cs="Arial"/>
          <w:color w:val="000000"/>
          <w:sz w:val="22"/>
          <w:szCs w:val="22"/>
        </w:rPr>
        <w:t>.</w:t>
      </w:r>
      <w:r w:rsidRPr="00A63C58">
        <w:rPr>
          <w:rFonts w:ascii="Arial" w:hAnsi="Arial" w:cs="Arial"/>
          <w:color w:val="000000"/>
          <w:sz w:val="22"/>
          <w:szCs w:val="22"/>
        </w:rPr>
        <w:t xml:space="preserve"> </w:t>
      </w:r>
      <w:r w:rsidRPr="00A63C58">
        <w:rPr>
          <w:rFonts w:ascii="Arial" w:hAnsi="Arial" w:cs="Arial"/>
          <w:color w:val="000000"/>
          <w:sz w:val="22"/>
          <w:szCs w:val="22"/>
        </w:rPr>
        <w:t>We are also very experienced in developing online resources for data-driven analyses, such as a database</w:t>
      </w:r>
      <w:r w:rsidRPr="00A63C58">
        <w:rPr>
          <w:rFonts w:ascii="Arial" w:hAnsi="Arial" w:cs="Arial"/>
          <w:color w:val="000000"/>
          <w:sz w:val="22"/>
          <w:szCs w:val="22"/>
        </w:rPr>
        <w:t xml:space="preserve"> </w:t>
      </w:r>
      <w:r w:rsidRPr="00A63C58">
        <w:rPr>
          <w:rFonts w:ascii="Arial" w:hAnsi="Arial" w:cs="Arial"/>
          <w:color w:val="000000"/>
          <w:sz w:val="22"/>
          <w:szCs w:val="22"/>
        </w:rPr>
        <w:t>of</w:t>
      </w:r>
      <w:r w:rsidRPr="00A63C58">
        <w:rPr>
          <w:rFonts w:ascii="Arial" w:hAnsi="Arial" w:cs="Arial"/>
          <w:color w:val="000000"/>
          <w:sz w:val="22"/>
          <w:szCs w:val="22"/>
        </w:rPr>
        <w:t xml:space="preserve"> </w:t>
      </w:r>
      <w:r w:rsidRPr="00A63C58">
        <w:rPr>
          <w:rFonts w:ascii="Arial" w:hAnsi="Arial" w:cs="Arial"/>
          <w:color w:val="000000"/>
          <w:sz w:val="22"/>
          <w:szCs w:val="22"/>
        </w:rPr>
        <w:t>molecular movements</w:t>
      </w:r>
      <w:r w:rsidR="00A63C58">
        <w:rPr>
          <w:rFonts w:ascii="Arial" w:hAnsi="Arial" w:cs="Arial"/>
          <w:color w:val="000000"/>
          <w:sz w:val="22"/>
          <w:szCs w:val="22"/>
        </w:rPr>
        <w:t xml:space="preserve"> </w:t>
      </w:r>
      <w:r w:rsidR="00A63C58">
        <w:rPr>
          <w:rFonts w:ascii="Arial" w:hAnsi="Arial" w:cs="Arial"/>
          <w:color w:val="000000"/>
          <w:sz w:val="22"/>
          <w:szCs w:val="22"/>
          <w:vertAlign w:val="superscript"/>
        </w:rPr>
        <w:t>3-25</w:t>
      </w:r>
      <w:r w:rsidRPr="00A63C58">
        <w:rPr>
          <w:rFonts w:ascii="Arial" w:hAnsi="Arial" w:cs="Arial"/>
          <w:color w:val="000000"/>
          <w:sz w:val="14"/>
          <w:szCs w:val="14"/>
        </w:rPr>
        <w:t xml:space="preserve"> </w:t>
      </w:r>
      <w:r w:rsidRPr="00A63C58">
        <w:rPr>
          <w:rFonts w:ascii="Arial" w:hAnsi="Arial" w:cs="Arial"/>
          <w:color w:val="000000"/>
          <w:sz w:val="22"/>
          <w:szCs w:val="22"/>
        </w:rPr>
        <w:t>(</w:t>
      </w:r>
      <w:r w:rsidRPr="00A63C58">
        <w:rPr>
          <w:rFonts w:ascii="Arial" w:hAnsi="Arial" w:cs="Arial"/>
          <w:color w:val="1155CD"/>
          <w:sz w:val="22"/>
          <w:szCs w:val="22"/>
        </w:rPr>
        <w:t xml:space="preserve">http://www.molmovdb.org/ </w:t>
      </w:r>
      <w:r w:rsidRPr="00A63C58">
        <w:rPr>
          <w:rFonts w:ascii="Arial" w:hAnsi="Arial" w:cs="Arial"/>
          <w:color w:val="000000"/>
          <w:sz w:val="22"/>
          <w:szCs w:val="22"/>
        </w:rPr>
        <w:t xml:space="preserve">— including </w:t>
      </w:r>
      <w:proofErr w:type="spellStart"/>
      <w:r w:rsidRPr="00A63C58">
        <w:rPr>
          <w:rFonts w:ascii="Arial" w:hAnsi="Arial" w:cs="Arial"/>
          <w:color w:val="000000"/>
          <w:sz w:val="22"/>
          <w:szCs w:val="22"/>
        </w:rPr>
        <w:t>GenoDock</w:t>
      </w:r>
      <w:proofErr w:type="spellEnd"/>
      <w:r w:rsidR="002E0923">
        <w:rPr>
          <w:rFonts w:ascii="Arial" w:hAnsi="Arial" w:cs="Arial"/>
          <w:color w:val="000000"/>
          <w:sz w:val="22"/>
          <w:szCs w:val="22"/>
        </w:rPr>
        <w:t xml:space="preserve"> </w:t>
      </w:r>
      <w:r w:rsidR="002E0923">
        <w:rPr>
          <w:rFonts w:ascii="Arial" w:hAnsi="Arial" w:cs="Arial"/>
          <w:color w:val="000000"/>
          <w:sz w:val="22"/>
          <w:szCs w:val="22"/>
          <w:vertAlign w:val="superscript"/>
        </w:rPr>
        <w:t>26</w:t>
      </w:r>
      <w:r w:rsidRPr="00A63C58">
        <w:rPr>
          <w:rFonts w:ascii="Arial" w:hAnsi="Arial" w:cs="Arial"/>
          <w:color w:val="000000"/>
          <w:sz w:val="22"/>
          <w:szCs w:val="22"/>
        </w:rPr>
        <w:t>:</w:t>
      </w:r>
      <w:r w:rsidRPr="00A63C58">
        <w:rPr>
          <w:rFonts w:ascii="Arial" w:hAnsi="Arial" w:cs="Arial"/>
          <w:color w:val="000000"/>
          <w:sz w:val="22"/>
          <w:szCs w:val="22"/>
        </w:rPr>
        <w:t xml:space="preserve"> </w:t>
      </w:r>
      <w:r w:rsidRPr="00A63C58">
        <w:rPr>
          <w:rFonts w:ascii="Arial" w:hAnsi="Arial" w:cs="Arial"/>
          <w:color w:val="1155CD"/>
          <w:sz w:val="22"/>
          <w:szCs w:val="22"/>
        </w:rPr>
        <w:t>http://genodock.molmovdb.org/</w:t>
      </w:r>
      <w:r w:rsidRPr="00A63C58">
        <w:rPr>
          <w:rFonts w:ascii="Arial" w:hAnsi="Arial" w:cs="Arial"/>
          <w:color w:val="000000"/>
          <w:sz w:val="22"/>
          <w:szCs w:val="22"/>
        </w:rPr>
        <w:t>), a pseudogene database</w:t>
      </w:r>
      <w:r w:rsidR="002E0923">
        <w:rPr>
          <w:rFonts w:ascii="Arial" w:hAnsi="Arial" w:cs="Arial"/>
          <w:color w:val="000000"/>
          <w:sz w:val="22"/>
          <w:szCs w:val="22"/>
        </w:rPr>
        <w:t xml:space="preserve"> </w:t>
      </w:r>
      <w:r w:rsidR="002E0923">
        <w:rPr>
          <w:rFonts w:ascii="Arial" w:hAnsi="Arial" w:cs="Arial"/>
          <w:color w:val="000000"/>
          <w:sz w:val="22"/>
          <w:szCs w:val="22"/>
          <w:vertAlign w:val="superscript"/>
        </w:rPr>
        <w:t>27</w:t>
      </w:r>
      <w:r w:rsidRPr="00A63C58">
        <w:rPr>
          <w:rFonts w:ascii="Arial" w:hAnsi="Arial" w:cs="Arial"/>
          <w:color w:val="000000"/>
          <w:sz w:val="14"/>
          <w:szCs w:val="14"/>
        </w:rPr>
        <w:t xml:space="preserve"> </w:t>
      </w:r>
      <w:r w:rsidRPr="00A63C58">
        <w:rPr>
          <w:rFonts w:ascii="Arial" w:hAnsi="Arial" w:cs="Arial"/>
          <w:color w:val="000000"/>
          <w:sz w:val="22"/>
          <w:szCs w:val="22"/>
        </w:rPr>
        <w:t>(</w:t>
      </w:r>
      <w:r w:rsidRPr="00A63C58">
        <w:rPr>
          <w:rFonts w:ascii="Arial" w:hAnsi="Arial" w:cs="Arial"/>
          <w:color w:val="1155CD"/>
          <w:sz w:val="22"/>
          <w:szCs w:val="22"/>
        </w:rPr>
        <w:t>http://pseudogene.org/</w:t>
      </w:r>
      <w:r w:rsidRPr="00A63C58">
        <w:rPr>
          <w:rFonts w:ascii="Arial" w:hAnsi="Arial" w:cs="Arial"/>
          <w:color w:val="000000"/>
          <w:sz w:val="22"/>
          <w:szCs w:val="22"/>
        </w:rPr>
        <w:t>), the Function-based</w:t>
      </w:r>
      <w:r w:rsidRPr="00A63C58">
        <w:rPr>
          <w:rFonts w:ascii="Arial" w:hAnsi="Arial" w:cs="Arial"/>
          <w:color w:val="000000"/>
          <w:sz w:val="22"/>
          <w:szCs w:val="22"/>
        </w:rPr>
        <w:t xml:space="preserve"> </w:t>
      </w:r>
      <w:r w:rsidRPr="00A63C58">
        <w:rPr>
          <w:rFonts w:ascii="Arial" w:hAnsi="Arial" w:cs="Arial"/>
          <w:color w:val="000000"/>
          <w:sz w:val="22"/>
          <w:szCs w:val="22"/>
        </w:rPr>
        <w:t>prioritization of Sequence variants (</w:t>
      </w:r>
      <w:proofErr w:type="spellStart"/>
      <w:r w:rsidRPr="00A63C58">
        <w:rPr>
          <w:rFonts w:ascii="Arial" w:hAnsi="Arial" w:cs="Arial"/>
          <w:color w:val="000000"/>
          <w:sz w:val="22"/>
          <w:szCs w:val="22"/>
        </w:rPr>
        <w:t>FunSeq</w:t>
      </w:r>
      <w:proofErr w:type="spellEnd"/>
      <w:r w:rsidRPr="00A63C58">
        <w:rPr>
          <w:rFonts w:ascii="Arial" w:hAnsi="Arial" w:cs="Arial"/>
          <w:color w:val="000000"/>
          <w:sz w:val="22"/>
          <w:szCs w:val="22"/>
        </w:rPr>
        <w:t>) and family of related tools</w:t>
      </w:r>
      <w:r w:rsidR="002E0923">
        <w:rPr>
          <w:rFonts w:ascii="Arial" w:hAnsi="Arial" w:cs="Arial"/>
          <w:color w:val="000000"/>
          <w:sz w:val="22"/>
          <w:szCs w:val="22"/>
        </w:rPr>
        <w:t xml:space="preserve"> </w:t>
      </w:r>
      <w:r w:rsidR="002E0923">
        <w:rPr>
          <w:rFonts w:ascii="Arial" w:hAnsi="Arial" w:cs="Arial"/>
          <w:color w:val="000000"/>
          <w:sz w:val="22"/>
          <w:szCs w:val="22"/>
          <w:vertAlign w:val="superscript"/>
        </w:rPr>
        <w:t>28.29</w:t>
      </w:r>
      <w:r w:rsidR="002E0923">
        <w:rPr>
          <w:rFonts w:ascii="Arial" w:hAnsi="Arial" w:cs="Arial"/>
          <w:color w:val="000000"/>
          <w:sz w:val="14"/>
          <w:szCs w:val="14"/>
        </w:rPr>
        <w:t xml:space="preserve"> </w:t>
      </w:r>
      <w:r w:rsidRPr="00A63C58">
        <w:rPr>
          <w:rFonts w:ascii="Arial" w:hAnsi="Arial" w:cs="Arial"/>
          <w:color w:val="000000"/>
          <w:sz w:val="22"/>
          <w:szCs w:val="22"/>
        </w:rPr>
        <w:t>(</w:t>
      </w:r>
      <w:r w:rsidRPr="00A63C58">
        <w:rPr>
          <w:rFonts w:ascii="Arial" w:hAnsi="Arial" w:cs="Arial"/>
          <w:color w:val="1155CD"/>
          <w:sz w:val="22"/>
          <w:szCs w:val="22"/>
        </w:rPr>
        <w:t>http://funseq.gersteinlab.org/</w:t>
      </w:r>
      <w:r w:rsidRPr="00A63C58">
        <w:rPr>
          <w:rFonts w:ascii="Arial" w:hAnsi="Arial" w:cs="Arial"/>
          <w:color w:val="000000"/>
          <w:sz w:val="22"/>
          <w:szCs w:val="22"/>
        </w:rPr>
        <w:t>), and</w:t>
      </w:r>
      <w:r w:rsidRPr="00A63C58">
        <w:rPr>
          <w:rFonts w:ascii="Arial" w:hAnsi="Arial" w:cs="Arial"/>
          <w:color w:val="000000"/>
          <w:sz w:val="22"/>
          <w:szCs w:val="22"/>
        </w:rPr>
        <w:t xml:space="preserve"> </w:t>
      </w:r>
      <w:r w:rsidRPr="00A63C58">
        <w:rPr>
          <w:rFonts w:ascii="Arial" w:hAnsi="Arial" w:cs="Arial"/>
          <w:color w:val="000000"/>
          <w:sz w:val="22"/>
          <w:szCs w:val="22"/>
        </w:rPr>
        <w:t>networks research</w:t>
      </w:r>
      <w:r w:rsidR="002E0923">
        <w:rPr>
          <w:rFonts w:ascii="Arial" w:hAnsi="Arial" w:cs="Arial"/>
          <w:color w:val="000000"/>
          <w:sz w:val="22"/>
          <w:szCs w:val="22"/>
        </w:rPr>
        <w:t xml:space="preserve"> </w:t>
      </w:r>
      <w:r w:rsidR="002E0923">
        <w:rPr>
          <w:rFonts w:ascii="Arial" w:hAnsi="Arial" w:cs="Arial"/>
          <w:color w:val="000000"/>
          <w:sz w:val="22"/>
          <w:szCs w:val="22"/>
          <w:vertAlign w:val="superscript"/>
        </w:rPr>
        <w:t>30-33</w:t>
      </w:r>
      <w:r w:rsidRPr="00A63C58">
        <w:rPr>
          <w:rFonts w:ascii="Arial" w:hAnsi="Arial" w:cs="Arial"/>
          <w:color w:val="000000"/>
          <w:sz w:val="14"/>
          <w:szCs w:val="14"/>
        </w:rPr>
        <w:t xml:space="preserve"> </w:t>
      </w:r>
      <w:r w:rsidRPr="00A63C58">
        <w:rPr>
          <w:rFonts w:ascii="Arial" w:hAnsi="Arial" w:cs="Arial"/>
          <w:color w:val="000000"/>
          <w:sz w:val="22"/>
          <w:szCs w:val="22"/>
        </w:rPr>
        <w:t>(</w:t>
      </w:r>
      <w:r w:rsidRPr="00A63C58">
        <w:rPr>
          <w:rFonts w:ascii="Arial" w:hAnsi="Arial" w:cs="Arial"/>
          <w:color w:val="1155CD"/>
          <w:sz w:val="22"/>
          <w:szCs w:val="22"/>
        </w:rPr>
        <w:t xml:space="preserve">http://networks.gersteinlab.org/ </w:t>
      </w:r>
      <w:r w:rsidRPr="00A63C58">
        <w:rPr>
          <w:rFonts w:ascii="Arial" w:hAnsi="Arial" w:cs="Arial"/>
          <w:color w:val="000000"/>
          <w:sz w:val="22"/>
          <w:szCs w:val="22"/>
        </w:rPr>
        <w:t>— including Publication Network Graph Utility</w:t>
      </w:r>
      <w:r w:rsidRPr="00A63C58">
        <w:rPr>
          <w:rFonts w:ascii="Arial" w:hAnsi="Arial" w:cs="Arial"/>
          <w:color w:val="000000"/>
          <w:sz w:val="22"/>
          <w:szCs w:val="22"/>
        </w:rPr>
        <w:t xml:space="preserve"> </w:t>
      </w:r>
      <w:r w:rsidRPr="00A63C58">
        <w:rPr>
          <w:rFonts w:ascii="Arial" w:hAnsi="Arial" w:cs="Arial"/>
          <w:color w:val="000000"/>
          <w:sz w:val="22"/>
          <w:szCs w:val="22"/>
        </w:rPr>
        <w:t>[</w:t>
      </w:r>
      <w:proofErr w:type="spellStart"/>
      <w:r w:rsidRPr="00A63C58">
        <w:rPr>
          <w:rFonts w:ascii="Arial" w:hAnsi="Arial" w:cs="Arial"/>
          <w:color w:val="000000"/>
          <w:sz w:val="22"/>
          <w:szCs w:val="22"/>
        </w:rPr>
        <w:t>PubNet</w:t>
      </w:r>
      <w:proofErr w:type="spellEnd"/>
      <w:r w:rsidRPr="00A63C58">
        <w:rPr>
          <w:rFonts w:ascii="Arial" w:hAnsi="Arial" w:cs="Arial"/>
          <w:color w:val="000000"/>
          <w:sz w:val="22"/>
          <w:szCs w:val="22"/>
        </w:rPr>
        <w:t>]</w:t>
      </w:r>
      <w:r w:rsidR="002E0923">
        <w:rPr>
          <w:rFonts w:ascii="Arial" w:hAnsi="Arial" w:cs="Arial"/>
          <w:color w:val="000000"/>
          <w:sz w:val="22"/>
          <w:szCs w:val="22"/>
        </w:rPr>
        <w:t xml:space="preserve"> </w:t>
      </w:r>
      <w:r w:rsidR="002E0923" w:rsidRPr="002E0923">
        <w:rPr>
          <w:rFonts w:ascii="Arial" w:hAnsi="Arial" w:cs="Arial"/>
          <w:color w:val="000000"/>
          <w:sz w:val="22"/>
          <w:szCs w:val="22"/>
          <w:vertAlign w:val="superscript"/>
        </w:rPr>
        <w:t>34</w:t>
      </w:r>
      <w:r w:rsidRPr="00A63C58">
        <w:rPr>
          <w:rFonts w:ascii="Arial" w:hAnsi="Arial" w:cs="Arial"/>
          <w:color w:val="000000"/>
          <w:sz w:val="22"/>
          <w:szCs w:val="22"/>
        </w:rPr>
        <w:t xml:space="preserve">: </w:t>
      </w:r>
      <w:r w:rsidRPr="00A63C58">
        <w:rPr>
          <w:rFonts w:ascii="Arial" w:hAnsi="Arial" w:cs="Arial"/>
          <w:color w:val="1155CD"/>
          <w:sz w:val="22"/>
          <w:szCs w:val="22"/>
        </w:rPr>
        <w:t>http://pubnet.gersteinlab.org/</w:t>
      </w:r>
      <w:r w:rsidRPr="00A63C58">
        <w:rPr>
          <w:rFonts w:ascii="Arial" w:hAnsi="Arial" w:cs="Arial"/>
          <w:color w:val="000000"/>
          <w:sz w:val="22"/>
          <w:szCs w:val="22"/>
        </w:rPr>
        <w:t>) resources. Our compendium will assist in combating the ongoing</w:t>
      </w:r>
      <w:r w:rsidRPr="00A63C58">
        <w:rPr>
          <w:rFonts w:ascii="Arial" w:hAnsi="Arial" w:cs="Arial"/>
          <w:color w:val="000000"/>
          <w:sz w:val="22"/>
          <w:szCs w:val="22"/>
        </w:rPr>
        <w:t xml:space="preserve"> </w:t>
      </w:r>
      <w:r w:rsidRPr="00A63C58">
        <w:rPr>
          <w:rFonts w:ascii="Arial" w:hAnsi="Arial" w:cs="Arial"/>
          <w:color w:val="000000"/>
          <w:sz w:val="22"/>
          <w:szCs w:val="22"/>
        </w:rPr>
        <w:t>COVID-19 pandemic by creating key resources for the development of an effective SARS-CoV-2 vaccine and</w:t>
      </w:r>
      <w:r w:rsidRPr="00A63C58">
        <w:rPr>
          <w:rFonts w:ascii="Arial" w:hAnsi="Arial" w:cs="Arial"/>
          <w:color w:val="000000"/>
          <w:sz w:val="22"/>
          <w:szCs w:val="22"/>
        </w:rPr>
        <w:t xml:space="preserve"> </w:t>
      </w:r>
      <w:r w:rsidRPr="00A63C58">
        <w:rPr>
          <w:rFonts w:ascii="Arial" w:hAnsi="Arial" w:cs="Arial"/>
          <w:color w:val="000000"/>
          <w:sz w:val="22"/>
          <w:szCs w:val="22"/>
        </w:rPr>
        <w:t>other therapeutics. The SHI atlas will be an educational hub, disseminating SARS-CoV-2 PPI information in a</w:t>
      </w:r>
      <w:r w:rsidRPr="00A63C58">
        <w:rPr>
          <w:rFonts w:ascii="Arial" w:hAnsi="Arial" w:cs="Arial"/>
          <w:color w:val="000000"/>
          <w:sz w:val="22"/>
          <w:szCs w:val="22"/>
        </w:rPr>
        <w:t xml:space="preserve"> </w:t>
      </w:r>
      <w:r w:rsidRPr="00A63C58">
        <w:rPr>
          <w:rFonts w:ascii="Arial" w:hAnsi="Arial" w:cs="Arial"/>
          <w:color w:val="000000"/>
          <w:sz w:val="22"/>
          <w:szCs w:val="22"/>
        </w:rPr>
        <w:t>freely accessible and user-friendly format. The PIs’ interdisciplinary expertise in studying host-viral PPIs</w:t>
      </w:r>
      <w:r w:rsidRPr="00A63C58">
        <w:rPr>
          <w:rFonts w:ascii="Arial" w:hAnsi="Arial" w:cs="Arial"/>
          <w:color w:val="000000"/>
          <w:sz w:val="22"/>
          <w:szCs w:val="22"/>
        </w:rPr>
        <w:t xml:space="preserve"> </w:t>
      </w:r>
      <w:r w:rsidRPr="00A63C58">
        <w:rPr>
          <w:rFonts w:ascii="Arial" w:hAnsi="Arial" w:cs="Arial"/>
          <w:color w:val="000000"/>
          <w:sz w:val="22"/>
          <w:szCs w:val="22"/>
        </w:rPr>
        <w:t>(Structural Interaction Network [SIN]</w:t>
      </w:r>
      <w:r w:rsidR="002E0923">
        <w:rPr>
          <w:rFonts w:ascii="Arial" w:hAnsi="Arial" w:cs="Arial"/>
          <w:color w:val="000000"/>
          <w:sz w:val="22"/>
          <w:szCs w:val="22"/>
        </w:rPr>
        <w:t xml:space="preserve"> </w:t>
      </w:r>
      <w:r w:rsidR="002E0923">
        <w:rPr>
          <w:rFonts w:ascii="Arial" w:hAnsi="Arial" w:cs="Arial"/>
          <w:color w:val="000000"/>
          <w:sz w:val="22"/>
          <w:szCs w:val="22"/>
          <w:vertAlign w:val="superscript"/>
        </w:rPr>
        <w:t>35</w:t>
      </w:r>
      <w:r w:rsidRPr="00A63C58">
        <w:rPr>
          <w:rFonts w:ascii="Arial" w:hAnsi="Arial" w:cs="Arial"/>
          <w:color w:val="000000"/>
          <w:sz w:val="22"/>
          <w:szCs w:val="22"/>
        </w:rPr>
        <w:t>, Dynamic SIN [</w:t>
      </w:r>
      <w:proofErr w:type="spellStart"/>
      <w:r w:rsidRPr="00A63C58">
        <w:rPr>
          <w:rFonts w:ascii="Arial" w:hAnsi="Arial" w:cs="Arial"/>
          <w:color w:val="000000"/>
          <w:sz w:val="22"/>
          <w:szCs w:val="22"/>
        </w:rPr>
        <w:t>DynaSIN</w:t>
      </w:r>
      <w:proofErr w:type="spellEnd"/>
      <w:r w:rsidRPr="00A63C58">
        <w:rPr>
          <w:rFonts w:ascii="Arial" w:hAnsi="Arial" w:cs="Arial"/>
          <w:color w:val="000000"/>
          <w:sz w:val="22"/>
          <w:szCs w:val="22"/>
        </w:rPr>
        <w:t>]</w:t>
      </w:r>
      <w:r w:rsidR="002E0923">
        <w:rPr>
          <w:rFonts w:ascii="Arial" w:hAnsi="Arial" w:cs="Arial"/>
          <w:color w:val="000000"/>
          <w:sz w:val="22"/>
          <w:szCs w:val="22"/>
        </w:rPr>
        <w:t xml:space="preserve"> </w:t>
      </w:r>
      <w:r w:rsidR="002E0923">
        <w:rPr>
          <w:rFonts w:ascii="Arial" w:hAnsi="Arial" w:cs="Arial"/>
          <w:color w:val="000000"/>
          <w:sz w:val="22"/>
          <w:szCs w:val="22"/>
          <w:vertAlign w:val="superscript"/>
        </w:rPr>
        <w:t>23</w:t>
      </w:r>
      <w:r w:rsidRPr="00A63C58">
        <w:rPr>
          <w:rFonts w:ascii="Arial" w:hAnsi="Arial" w:cs="Arial"/>
          <w:color w:val="000000"/>
          <w:sz w:val="22"/>
          <w:szCs w:val="22"/>
        </w:rPr>
        <w:t xml:space="preserve">, </w:t>
      </w:r>
      <w:proofErr w:type="spellStart"/>
      <w:r w:rsidRPr="00A63C58">
        <w:rPr>
          <w:rFonts w:ascii="Arial" w:hAnsi="Arial" w:cs="Arial"/>
          <w:color w:val="000000"/>
          <w:sz w:val="22"/>
          <w:szCs w:val="22"/>
        </w:rPr>
        <w:t>tYNA</w:t>
      </w:r>
      <w:proofErr w:type="spellEnd"/>
      <w:r w:rsidR="002E0923">
        <w:rPr>
          <w:rFonts w:ascii="Arial" w:hAnsi="Arial" w:cs="Arial"/>
          <w:color w:val="000000"/>
          <w:sz w:val="22"/>
          <w:szCs w:val="22"/>
        </w:rPr>
        <w:t xml:space="preserve"> </w:t>
      </w:r>
      <w:r w:rsidR="002E0923">
        <w:rPr>
          <w:rFonts w:ascii="Arial" w:hAnsi="Arial" w:cs="Arial"/>
          <w:color w:val="000000"/>
          <w:sz w:val="22"/>
          <w:szCs w:val="22"/>
          <w:vertAlign w:val="superscript"/>
        </w:rPr>
        <w:t>31</w:t>
      </w:r>
      <w:r w:rsidRPr="00A63C58">
        <w:rPr>
          <w:rFonts w:ascii="Arial" w:hAnsi="Arial" w:cs="Arial"/>
          <w:color w:val="000000"/>
          <w:sz w:val="22"/>
          <w:szCs w:val="22"/>
        </w:rPr>
        <w:t xml:space="preserve">, and </w:t>
      </w:r>
      <w:proofErr w:type="spellStart"/>
      <w:r w:rsidRPr="00A63C58">
        <w:rPr>
          <w:rFonts w:ascii="Arial" w:hAnsi="Arial" w:cs="Arial"/>
          <w:color w:val="000000"/>
          <w:sz w:val="22"/>
          <w:szCs w:val="22"/>
        </w:rPr>
        <w:t>TopicNet</w:t>
      </w:r>
      <w:proofErr w:type="spellEnd"/>
      <w:r w:rsidR="00A63C58">
        <w:rPr>
          <w:rFonts w:ascii="Arial" w:hAnsi="Arial" w:cs="Arial"/>
          <w:color w:val="000000"/>
          <w:sz w:val="22"/>
          <w:szCs w:val="22"/>
        </w:rPr>
        <w:t xml:space="preserve"> </w:t>
      </w:r>
      <w:r w:rsidR="002E0923">
        <w:rPr>
          <w:rFonts w:ascii="Arial" w:hAnsi="Arial" w:cs="Arial"/>
          <w:color w:val="000000"/>
          <w:sz w:val="22"/>
          <w:szCs w:val="22"/>
          <w:vertAlign w:val="superscript"/>
        </w:rPr>
        <w:t>36</w:t>
      </w:r>
      <w:r w:rsidRPr="00A63C58">
        <w:rPr>
          <w:rFonts w:ascii="Arial" w:hAnsi="Arial" w:cs="Arial"/>
          <w:color w:val="000000"/>
          <w:sz w:val="22"/>
          <w:szCs w:val="22"/>
        </w:rPr>
        <w:t>) ensures that the SHI</w:t>
      </w:r>
      <w:r w:rsidRPr="00A63C58">
        <w:rPr>
          <w:rFonts w:ascii="Arial" w:hAnsi="Arial" w:cs="Arial"/>
          <w:color w:val="000000"/>
          <w:sz w:val="22"/>
          <w:szCs w:val="22"/>
        </w:rPr>
        <w:t xml:space="preserve"> </w:t>
      </w:r>
      <w:r w:rsidRPr="00A63C58">
        <w:rPr>
          <w:rFonts w:ascii="Arial" w:hAnsi="Arial" w:cs="Arial"/>
          <w:color w:val="000000"/>
          <w:sz w:val="22"/>
          <w:szCs w:val="22"/>
        </w:rPr>
        <w:t>atlas will be further expanded and kept up to date for the COVID-19 research community.</w:t>
      </w:r>
    </w:p>
    <w:p w14:paraId="527474F4" w14:textId="58B798F8" w:rsidR="00E50A47" w:rsidRDefault="00E50A47" w:rsidP="00AE70B0">
      <w:pPr>
        <w:autoSpaceDE w:val="0"/>
        <w:autoSpaceDN w:val="0"/>
        <w:adjustRightInd w:val="0"/>
        <w:jc w:val="both"/>
        <w:rPr>
          <w:rFonts w:ascii="Arial" w:hAnsi="Arial" w:cs="Arial"/>
          <w:color w:val="000000"/>
          <w:sz w:val="22"/>
          <w:szCs w:val="22"/>
        </w:rPr>
      </w:pPr>
    </w:p>
    <w:p w14:paraId="16744441" w14:textId="06AD09E5" w:rsidR="00E50A47" w:rsidRDefault="00587672" w:rsidP="00587672">
      <w:pPr>
        <w:autoSpaceDE w:val="0"/>
        <w:autoSpaceDN w:val="0"/>
        <w:adjustRightInd w:val="0"/>
        <w:jc w:val="both"/>
        <w:rPr>
          <w:rFonts w:ascii="Arial" w:hAnsi="Arial" w:cs="Arial"/>
          <w:sz w:val="22"/>
          <w:szCs w:val="22"/>
        </w:rPr>
      </w:pPr>
      <w:r w:rsidRPr="00587672">
        <w:rPr>
          <w:rFonts w:ascii="Arial" w:hAnsi="Arial" w:cs="Arial"/>
          <w:sz w:val="22"/>
          <w:szCs w:val="22"/>
          <w:u w:val="single"/>
        </w:rPr>
        <w:t>Appl</w:t>
      </w:r>
      <w:r>
        <w:rPr>
          <w:rFonts w:ascii="Arial" w:hAnsi="Arial" w:cs="Arial"/>
          <w:sz w:val="22"/>
          <w:szCs w:val="22"/>
          <w:u w:val="single"/>
        </w:rPr>
        <w:t>y</w:t>
      </w:r>
      <w:r w:rsidRPr="00587672">
        <w:rPr>
          <w:rFonts w:ascii="Arial" w:hAnsi="Arial" w:cs="Arial"/>
          <w:sz w:val="22"/>
          <w:szCs w:val="22"/>
          <w:u w:val="single"/>
        </w:rPr>
        <w:t>ing</w:t>
      </w:r>
      <w:r w:rsidRPr="00587672">
        <w:rPr>
          <w:rFonts w:ascii="Arial" w:hAnsi="Arial" w:cs="Arial"/>
          <w:sz w:val="22"/>
          <w:szCs w:val="22"/>
          <w:u w:val="single"/>
        </w:rPr>
        <w:t xml:space="preserve"> RNA-seq clustering and machine learning to identify further interactions</w:t>
      </w:r>
      <w:r>
        <w:rPr>
          <w:rFonts w:ascii="Arial" w:hAnsi="Arial" w:cs="Arial"/>
          <w:sz w:val="22"/>
          <w:szCs w:val="22"/>
        </w:rPr>
        <w:t xml:space="preserve">: </w:t>
      </w:r>
      <w:r w:rsidRPr="00587672">
        <w:rPr>
          <w:rFonts w:ascii="Arial" w:hAnsi="Arial" w:cs="Arial"/>
          <w:sz w:val="22"/>
          <w:szCs w:val="22"/>
        </w:rPr>
        <w:t>We recently</w:t>
      </w:r>
      <w:r>
        <w:rPr>
          <w:rFonts w:ascii="Arial" w:hAnsi="Arial" w:cs="Arial"/>
          <w:sz w:val="22"/>
          <w:szCs w:val="22"/>
        </w:rPr>
        <w:t xml:space="preserve"> </w:t>
      </w:r>
      <w:r w:rsidRPr="00587672">
        <w:rPr>
          <w:rFonts w:ascii="Arial" w:hAnsi="Arial" w:cs="Arial"/>
          <w:sz w:val="22"/>
          <w:szCs w:val="22"/>
        </w:rPr>
        <w:t>applied a simplified version of this approach to a similar type of RNA-seq</w:t>
      </w:r>
      <w:r>
        <w:rPr>
          <w:rFonts w:ascii="Arial" w:hAnsi="Arial" w:cs="Arial"/>
          <w:sz w:val="22"/>
          <w:szCs w:val="22"/>
        </w:rPr>
        <w:t xml:space="preserve"> </w:t>
      </w:r>
      <w:r w:rsidRPr="00587672">
        <w:rPr>
          <w:rFonts w:ascii="Arial" w:hAnsi="Arial" w:cs="Arial"/>
          <w:sz w:val="22"/>
          <w:szCs w:val="22"/>
        </w:rPr>
        <w:t>dataset from asthmatic</w:t>
      </w:r>
      <w:r>
        <w:rPr>
          <w:rFonts w:ascii="Arial" w:hAnsi="Arial" w:cs="Arial"/>
          <w:sz w:val="22"/>
          <w:szCs w:val="22"/>
        </w:rPr>
        <w:t xml:space="preserve"> </w:t>
      </w:r>
      <w:r w:rsidRPr="00587672">
        <w:rPr>
          <w:rFonts w:ascii="Arial" w:hAnsi="Arial" w:cs="Arial"/>
          <w:sz w:val="22"/>
          <w:szCs w:val="22"/>
        </w:rPr>
        <w:t>patients to identify the interactions between microbes and host genes.</w:t>
      </w:r>
      <w:r>
        <w:rPr>
          <w:rFonts w:ascii="Arial" w:hAnsi="Arial" w:cs="Arial"/>
          <w:sz w:val="22"/>
          <w:szCs w:val="22"/>
        </w:rPr>
        <w:t xml:space="preserve"> </w:t>
      </w:r>
      <w:r w:rsidRPr="00587672">
        <w:rPr>
          <w:rFonts w:ascii="Arial" w:hAnsi="Arial" w:cs="Arial"/>
          <w:sz w:val="22"/>
          <w:szCs w:val="22"/>
        </w:rPr>
        <w:t>Now, we plan to</w:t>
      </w:r>
      <w:r>
        <w:rPr>
          <w:rFonts w:ascii="Arial" w:hAnsi="Arial" w:cs="Arial"/>
          <w:sz w:val="22"/>
          <w:szCs w:val="22"/>
        </w:rPr>
        <w:t xml:space="preserve"> </w:t>
      </w:r>
      <w:r w:rsidRPr="00587672">
        <w:rPr>
          <w:rFonts w:ascii="Arial" w:hAnsi="Arial" w:cs="Arial"/>
          <w:sz w:val="22"/>
          <w:szCs w:val="22"/>
        </w:rPr>
        <w:t>extend</w:t>
      </w:r>
      <w:r>
        <w:rPr>
          <w:rFonts w:ascii="Arial" w:hAnsi="Arial" w:cs="Arial"/>
          <w:sz w:val="22"/>
          <w:szCs w:val="22"/>
        </w:rPr>
        <w:t xml:space="preserve"> </w:t>
      </w:r>
      <w:r w:rsidRPr="00587672">
        <w:rPr>
          <w:rFonts w:ascii="Arial" w:hAnsi="Arial" w:cs="Arial"/>
          <w:sz w:val="22"/>
          <w:szCs w:val="22"/>
        </w:rPr>
        <w:t>this method and apply it to COVID-19. In our preliminary work, we analyzed the heterogeneous</w:t>
      </w:r>
      <w:r>
        <w:rPr>
          <w:rFonts w:ascii="Arial" w:hAnsi="Arial" w:cs="Arial"/>
          <w:sz w:val="22"/>
          <w:szCs w:val="22"/>
        </w:rPr>
        <w:t xml:space="preserve"> </w:t>
      </w:r>
      <w:r w:rsidRPr="00587672">
        <w:rPr>
          <w:rFonts w:ascii="Arial" w:hAnsi="Arial" w:cs="Arial"/>
          <w:sz w:val="22"/>
          <w:szCs w:val="22"/>
        </w:rPr>
        <w:t>data of</w:t>
      </w:r>
      <w:r>
        <w:rPr>
          <w:rFonts w:ascii="Arial" w:hAnsi="Arial" w:cs="Arial"/>
          <w:sz w:val="22"/>
          <w:szCs w:val="22"/>
        </w:rPr>
        <w:t xml:space="preserve"> </w:t>
      </w:r>
      <w:r w:rsidRPr="00587672">
        <w:rPr>
          <w:rFonts w:ascii="Arial" w:hAnsi="Arial" w:cs="Arial"/>
          <w:sz w:val="22"/>
          <w:szCs w:val="22"/>
        </w:rPr>
        <w:t>sputum samples collected from the airway of asthmatic patients. We applied our LDA-link tool</w:t>
      </w:r>
      <w:r>
        <w:rPr>
          <w:rFonts w:ascii="Arial" w:hAnsi="Arial" w:cs="Arial"/>
          <w:sz w:val="22"/>
          <w:szCs w:val="22"/>
        </w:rPr>
        <w:t xml:space="preserve"> a</w:t>
      </w:r>
      <w:r w:rsidRPr="00587672">
        <w:rPr>
          <w:rFonts w:ascii="Arial" w:hAnsi="Arial" w:cs="Arial"/>
          <w:sz w:val="22"/>
          <w:szCs w:val="22"/>
        </w:rPr>
        <w:t>nd identified</w:t>
      </w:r>
      <w:r>
        <w:rPr>
          <w:rFonts w:ascii="Arial" w:hAnsi="Arial" w:cs="Arial"/>
          <w:sz w:val="22"/>
          <w:szCs w:val="22"/>
        </w:rPr>
        <w:t xml:space="preserve"> </w:t>
      </w:r>
      <w:r w:rsidRPr="00587672">
        <w:rPr>
          <w:rFonts w:ascii="Arial" w:hAnsi="Arial" w:cs="Arial"/>
          <w:sz w:val="22"/>
          <w:szCs w:val="22"/>
        </w:rPr>
        <w:t>connections between genes and microbes reported elsewhere in the literature as</w:t>
      </w:r>
      <w:r>
        <w:rPr>
          <w:rFonts w:ascii="Arial" w:hAnsi="Arial" w:cs="Arial"/>
          <w:sz w:val="22"/>
          <w:szCs w:val="22"/>
        </w:rPr>
        <w:t xml:space="preserve"> </w:t>
      </w:r>
      <w:r w:rsidRPr="00587672">
        <w:rPr>
          <w:rFonts w:ascii="Arial" w:hAnsi="Arial" w:cs="Arial"/>
          <w:sz w:val="22"/>
          <w:szCs w:val="22"/>
        </w:rPr>
        <w:t>well as novel</w:t>
      </w:r>
      <w:r>
        <w:rPr>
          <w:rFonts w:ascii="Arial" w:hAnsi="Arial" w:cs="Arial"/>
          <w:sz w:val="22"/>
          <w:szCs w:val="22"/>
        </w:rPr>
        <w:t xml:space="preserve"> </w:t>
      </w:r>
      <w:r w:rsidRPr="00587672">
        <w:rPr>
          <w:rFonts w:ascii="Arial" w:hAnsi="Arial" w:cs="Arial"/>
          <w:sz w:val="22"/>
          <w:szCs w:val="22"/>
        </w:rPr>
        <w:t>observations.</w:t>
      </w:r>
      <w:r>
        <w:rPr>
          <w:rFonts w:ascii="Arial" w:hAnsi="Arial" w:cs="Arial"/>
          <w:sz w:val="22"/>
          <w:szCs w:val="22"/>
        </w:rPr>
        <w:t xml:space="preserve"> </w:t>
      </w:r>
      <w:r w:rsidRPr="00587672">
        <w:rPr>
          <w:rFonts w:ascii="Arial" w:hAnsi="Arial" w:cs="Arial"/>
          <w:sz w:val="22"/>
          <w:szCs w:val="22"/>
        </w:rPr>
        <w:t>Notably, both fungi and bacteria showed these links, further</w:t>
      </w:r>
      <w:r>
        <w:rPr>
          <w:rFonts w:ascii="Arial" w:hAnsi="Arial" w:cs="Arial"/>
          <w:sz w:val="22"/>
          <w:szCs w:val="22"/>
        </w:rPr>
        <w:t xml:space="preserve"> </w:t>
      </w:r>
      <w:r w:rsidRPr="00587672">
        <w:rPr>
          <w:rFonts w:ascii="Arial" w:hAnsi="Arial" w:cs="Arial"/>
          <w:sz w:val="22"/>
          <w:szCs w:val="22"/>
        </w:rPr>
        <w:t>highlighting the need to evaluate</w:t>
      </w:r>
      <w:r>
        <w:rPr>
          <w:rFonts w:ascii="Arial" w:hAnsi="Arial" w:cs="Arial"/>
          <w:sz w:val="22"/>
          <w:szCs w:val="22"/>
        </w:rPr>
        <w:t xml:space="preserve"> </w:t>
      </w:r>
      <w:r w:rsidRPr="00587672">
        <w:rPr>
          <w:rFonts w:ascii="Arial" w:hAnsi="Arial" w:cs="Arial"/>
          <w:sz w:val="22"/>
          <w:szCs w:val="22"/>
        </w:rPr>
        <w:t>more than just</w:t>
      </w:r>
      <w:r>
        <w:rPr>
          <w:rFonts w:ascii="Arial" w:hAnsi="Arial" w:cs="Arial"/>
          <w:sz w:val="22"/>
          <w:szCs w:val="22"/>
        </w:rPr>
        <w:t xml:space="preserve"> </w:t>
      </w:r>
      <w:r w:rsidRPr="00587672">
        <w:rPr>
          <w:rFonts w:ascii="Arial" w:hAnsi="Arial" w:cs="Arial"/>
          <w:sz w:val="22"/>
          <w:szCs w:val="22"/>
        </w:rPr>
        <w:t>bacteria when performing microbiome</w:t>
      </w:r>
      <w:r>
        <w:rPr>
          <w:rFonts w:ascii="Arial" w:hAnsi="Arial" w:cs="Arial"/>
          <w:sz w:val="22"/>
          <w:szCs w:val="22"/>
        </w:rPr>
        <w:t xml:space="preserve"> </w:t>
      </w:r>
      <w:r w:rsidRPr="00587672">
        <w:rPr>
          <w:rFonts w:ascii="Arial" w:hAnsi="Arial" w:cs="Arial"/>
          <w:sz w:val="22"/>
          <w:szCs w:val="22"/>
        </w:rPr>
        <w:t>experiments in the airway. Several of the observed linkages showed</w:t>
      </w:r>
      <w:r>
        <w:rPr>
          <w:rFonts w:ascii="Arial" w:hAnsi="Arial" w:cs="Arial"/>
          <w:sz w:val="22"/>
          <w:szCs w:val="22"/>
        </w:rPr>
        <w:t xml:space="preserve"> </w:t>
      </w:r>
      <w:r w:rsidRPr="00587672">
        <w:rPr>
          <w:rFonts w:ascii="Arial" w:hAnsi="Arial" w:cs="Arial"/>
          <w:sz w:val="22"/>
          <w:szCs w:val="22"/>
        </w:rPr>
        <w:t>strong literature</w:t>
      </w:r>
      <w:r>
        <w:rPr>
          <w:rFonts w:ascii="Arial" w:hAnsi="Arial" w:cs="Arial"/>
          <w:sz w:val="22"/>
          <w:szCs w:val="22"/>
        </w:rPr>
        <w:t xml:space="preserve"> </w:t>
      </w:r>
      <w:r w:rsidRPr="00587672">
        <w:rPr>
          <w:rFonts w:ascii="Arial" w:hAnsi="Arial" w:cs="Arial"/>
          <w:sz w:val="22"/>
          <w:szCs w:val="22"/>
        </w:rPr>
        <w:t xml:space="preserve">precedence. For example, the gene </w:t>
      </w:r>
      <w:proofErr w:type="spellStart"/>
      <w:r w:rsidRPr="00587672">
        <w:rPr>
          <w:rFonts w:ascii="Arial" w:hAnsi="Arial" w:cs="Arial"/>
          <w:sz w:val="22"/>
          <w:szCs w:val="22"/>
        </w:rPr>
        <w:t>lactotransferrin</w:t>
      </w:r>
      <w:proofErr w:type="spellEnd"/>
      <w:r w:rsidRPr="00587672">
        <w:rPr>
          <w:rFonts w:ascii="Arial" w:hAnsi="Arial" w:cs="Arial"/>
          <w:sz w:val="22"/>
          <w:szCs w:val="22"/>
        </w:rPr>
        <w:t xml:space="preserve"> was linked to Aeromonas</w:t>
      </w:r>
      <w:r w:rsidR="00EE7477">
        <w:rPr>
          <w:rFonts w:ascii="Arial" w:hAnsi="Arial" w:cs="Arial"/>
          <w:sz w:val="22"/>
          <w:szCs w:val="22"/>
        </w:rPr>
        <w:t xml:space="preserve"> </w:t>
      </w:r>
      <w:r w:rsidR="00EE7477">
        <w:rPr>
          <w:rFonts w:ascii="Arial" w:hAnsi="Arial" w:cs="Arial"/>
          <w:sz w:val="22"/>
          <w:szCs w:val="22"/>
          <w:vertAlign w:val="superscript"/>
        </w:rPr>
        <w:t>37</w:t>
      </w:r>
      <w:r w:rsidRPr="00587672">
        <w:rPr>
          <w:rFonts w:ascii="Arial" w:hAnsi="Arial" w:cs="Arial"/>
          <w:sz w:val="22"/>
          <w:szCs w:val="22"/>
        </w:rPr>
        <w:t>,</w:t>
      </w:r>
      <w:r>
        <w:rPr>
          <w:rFonts w:ascii="Arial" w:hAnsi="Arial" w:cs="Arial"/>
          <w:sz w:val="22"/>
          <w:szCs w:val="22"/>
        </w:rPr>
        <w:t xml:space="preserve"> </w:t>
      </w:r>
      <w:r w:rsidRPr="00587672">
        <w:rPr>
          <w:rFonts w:ascii="Arial" w:hAnsi="Arial" w:cs="Arial"/>
          <w:sz w:val="22"/>
          <w:szCs w:val="22"/>
        </w:rPr>
        <w:t>the gene MUC6</w:t>
      </w:r>
      <w:r>
        <w:rPr>
          <w:rFonts w:ascii="Arial" w:hAnsi="Arial" w:cs="Arial"/>
          <w:sz w:val="22"/>
          <w:szCs w:val="22"/>
        </w:rPr>
        <w:t xml:space="preserve"> </w:t>
      </w:r>
      <w:r w:rsidRPr="00587672">
        <w:rPr>
          <w:rFonts w:ascii="Arial" w:hAnsi="Arial" w:cs="Arial"/>
          <w:sz w:val="22"/>
          <w:szCs w:val="22"/>
        </w:rPr>
        <w:t xml:space="preserve">was linked to </w:t>
      </w:r>
      <w:proofErr w:type="spellStart"/>
      <w:r w:rsidRPr="00587672">
        <w:rPr>
          <w:rFonts w:ascii="Arial" w:hAnsi="Arial" w:cs="Arial"/>
          <w:sz w:val="22"/>
          <w:szCs w:val="22"/>
        </w:rPr>
        <w:t>Burkholderia</w:t>
      </w:r>
      <w:proofErr w:type="spellEnd"/>
      <w:r w:rsidR="00EE7477">
        <w:rPr>
          <w:rFonts w:ascii="Arial" w:hAnsi="Arial" w:cs="Arial"/>
          <w:sz w:val="22"/>
          <w:szCs w:val="22"/>
        </w:rPr>
        <w:t xml:space="preserve"> </w:t>
      </w:r>
      <w:proofErr w:type="gramStart"/>
      <w:r w:rsidR="00EE7477">
        <w:rPr>
          <w:rFonts w:ascii="Arial" w:hAnsi="Arial" w:cs="Arial"/>
          <w:sz w:val="22"/>
          <w:szCs w:val="22"/>
          <w:vertAlign w:val="superscript"/>
        </w:rPr>
        <w:t>38</w:t>
      </w:r>
      <w:r>
        <w:rPr>
          <w:rFonts w:ascii="Arial" w:hAnsi="Arial" w:cs="Arial"/>
          <w:sz w:val="14"/>
          <w:szCs w:val="14"/>
        </w:rPr>
        <w:t xml:space="preserve"> </w:t>
      </w:r>
      <w:r w:rsidRPr="00587672">
        <w:rPr>
          <w:rFonts w:ascii="Arial" w:hAnsi="Arial" w:cs="Arial"/>
          <w:sz w:val="22"/>
          <w:szCs w:val="22"/>
        </w:rPr>
        <w:t>,</w:t>
      </w:r>
      <w:proofErr w:type="gramEnd"/>
      <w:r w:rsidRPr="00587672">
        <w:rPr>
          <w:rFonts w:ascii="Arial" w:hAnsi="Arial" w:cs="Arial"/>
          <w:sz w:val="22"/>
          <w:szCs w:val="22"/>
        </w:rPr>
        <w:t xml:space="preserve"> the NFKB Inhibitor Zeta was linked to </w:t>
      </w:r>
      <w:proofErr w:type="spellStart"/>
      <w:r w:rsidRPr="00587672">
        <w:rPr>
          <w:rFonts w:ascii="Arial" w:hAnsi="Arial" w:cs="Arial"/>
          <w:sz w:val="22"/>
          <w:szCs w:val="22"/>
        </w:rPr>
        <w:t>Haemophilus</w:t>
      </w:r>
      <w:proofErr w:type="spellEnd"/>
      <w:r w:rsidR="00EE7477">
        <w:rPr>
          <w:rFonts w:ascii="Arial" w:hAnsi="Arial" w:cs="Arial"/>
          <w:sz w:val="22"/>
          <w:szCs w:val="22"/>
        </w:rPr>
        <w:t xml:space="preserve"> </w:t>
      </w:r>
      <w:r w:rsidR="00EE7477">
        <w:rPr>
          <w:rFonts w:ascii="Arial" w:hAnsi="Arial" w:cs="Arial"/>
          <w:sz w:val="22"/>
          <w:szCs w:val="22"/>
          <w:vertAlign w:val="superscript"/>
        </w:rPr>
        <w:t>39</w:t>
      </w:r>
      <w:r w:rsidR="00EE7477">
        <w:rPr>
          <w:rFonts w:ascii="Arial" w:hAnsi="Arial" w:cs="Arial"/>
          <w:sz w:val="22"/>
          <w:szCs w:val="22"/>
        </w:rPr>
        <w:t xml:space="preserve"> </w:t>
      </w:r>
      <w:r w:rsidRPr="00587672">
        <w:rPr>
          <w:rFonts w:ascii="Arial" w:hAnsi="Arial" w:cs="Arial"/>
          <w:sz w:val="22"/>
          <w:szCs w:val="22"/>
        </w:rPr>
        <w:t>, and IL1B</w:t>
      </w:r>
      <w:r>
        <w:rPr>
          <w:rFonts w:ascii="Arial" w:hAnsi="Arial" w:cs="Arial"/>
          <w:sz w:val="22"/>
          <w:szCs w:val="22"/>
        </w:rPr>
        <w:t xml:space="preserve"> </w:t>
      </w:r>
      <w:r w:rsidRPr="00587672">
        <w:rPr>
          <w:rFonts w:ascii="Arial" w:hAnsi="Arial" w:cs="Arial"/>
          <w:sz w:val="22"/>
          <w:szCs w:val="22"/>
        </w:rPr>
        <w:t>was linked to</w:t>
      </w:r>
      <w:r>
        <w:rPr>
          <w:rFonts w:ascii="Arial" w:hAnsi="Arial" w:cs="Arial"/>
          <w:sz w:val="22"/>
          <w:szCs w:val="22"/>
        </w:rPr>
        <w:t xml:space="preserve"> </w:t>
      </w:r>
      <w:r w:rsidRPr="00587672">
        <w:rPr>
          <w:rFonts w:ascii="Arial" w:hAnsi="Arial" w:cs="Arial"/>
          <w:sz w:val="22"/>
          <w:szCs w:val="22"/>
        </w:rPr>
        <w:t>Pasteurella</w:t>
      </w:r>
      <w:r w:rsidR="00EE7477">
        <w:rPr>
          <w:rFonts w:ascii="Arial" w:hAnsi="Arial" w:cs="Arial"/>
          <w:sz w:val="22"/>
          <w:szCs w:val="22"/>
        </w:rPr>
        <w:t xml:space="preserve"> </w:t>
      </w:r>
      <w:r w:rsidR="00EE7477">
        <w:rPr>
          <w:rFonts w:ascii="Arial" w:hAnsi="Arial" w:cs="Arial"/>
          <w:sz w:val="22"/>
          <w:szCs w:val="22"/>
          <w:vertAlign w:val="superscript"/>
        </w:rPr>
        <w:t>40</w:t>
      </w:r>
      <w:r w:rsidR="00EE7477">
        <w:rPr>
          <w:rFonts w:ascii="Arial" w:hAnsi="Arial" w:cs="Arial"/>
          <w:sz w:val="22"/>
          <w:szCs w:val="22"/>
        </w:rPr>
        <w:t xml:space="preserve"> </w:t>
      </w:r>
      <w:r w:rsidRPr="00587672">
        <w:rPr>
          <w:rFonts w:ascii="Arial" w:hAnsi="Arial" w:cs="Arial"/>
          <w:sz w:val="22"/>
          <w:szCs w:val="22"/>
        </w:rPr>
        <w:t>. We also identified several novel linkages, such as between IL1B and</w:t>
      </w:r>
      <w:r>
        <w:rPr>
          <w:rFonts w:ascii="Arial" w:hAnsi="Arial" w:cs="Arial"/>
          <w:sz w:val="22"/>
          <w:szCs w:val="22"/>
        </w:rPr>
        <w:t xml:space="preserve"> </w:t>
      </w:r>
      <w:proofErr w:type="spellStart"/>
      <w:r w:rsidRPr="00587672">
        <w:rPr>
          <w:rFonts w:ascii="Arial" w:hAnsi="Arial" w:cs="Arial"/>
          <w:sz w:val="22"/>
          <w:szCs w:val="22"/>
        </w:rPr>
        <w:t>Haemophilus</w:t>
      </w:r>
      <w:proofErr w:type="spellEnd"/>
      <w:r w:rsidRPr="00587672">
        <w:rPr>
          <w:rFonts w:ascii="Arial" w:hAnsi="Arial" w:cs="Arial"/>
          <w:sz w:val="22"/>
          <w:szCs w:val="22"/>
        </w:rPr>
        <w:t xml:space="preserve"> and between</w:t>
      </w:r>
      <w:r>
        <w:rPr>
          <w:rFonts w:ascii="Arial" w:hAnsi="Arial" w:cs="Arial"/>
          <w:sz w:val="22"/>
          <w:szCs w:val="22"/>
        </w:rPr>
        <w:t xml:space="preserve"> </w:t>
      </w:r>
      <w:r w:rsidRPr="00587672">
        <w:rPr>
          <w:rFonts w:ascii="Arial" w:hAnsi="Arial" w:cs="Arial"/>
          <w:sz w:val="22"/>
          <w:szCs w:val="22"/>
        </w:rPr>
        <w:t>GCSAML and Candida. In addition to single gene-microbe pairs, we layered on pathway and</w:t>
      </w:r>
      <w:r>
        <w:rPr>
          <w:rFonts w:ascii="Arial" w:hAnsi="Arial" w:cs="Arial"/>
          <w:sz w:val="22"/>
          <w:szCs w:val="22"/>
        </w:rPr>
        <w:t xml:space="preserve"> </w:t>
      </w:r>
      <w:r w:rsidRPr="00587672">
        <w:rPr>
          <w:rFonts w:ascii="Arial" w:hAnsi="Arial" w:cs="Arial"/>
          <w:sz w:val="22"/>
          <w:szCs w:val="22"/>
        </w:rPr>
        <w:t>cell deconvolution</w:t>
      </w:r>
      <w:r>
        <w:rPr>
          <w:rFonts w:ascii="Arial" w:hAnsi="Arial" w:cs="Arial"/>
          <w:sz w:val="22"/>
          <w:szCs w:val="22"/>
        </w:rPr>
        <w:t xml:space="preserve"> </w:t>
      </w:r>
      <w:r w:rsidRPr="00587672">
        <w:rPr>
          <w:rFonts w:ascii="Arial" w:hAnsi="Arial" w:cs="Arial"/>
          <w:sz w:val="22"/>
          <w:szCs w:val="22"/>
        </w:rPr>
        <w:t>data to identify larger-scale effects of microbes.</w:t>
      </w:r>
    </w:p>
    <w:p w14:paraId="420CDA26" w14:textId="0219AA3E" w:rsidR="00EE7477" w:rsidRDefault="00EE7477" w:rsidP="00587672">
      <w:pPr>
        <w:autoSpaceDE w:val="0"/>
        <w:autoSpaceDN w:val="0"/>
        <w:adjustRightInd w:val="0"/>
        <w:jc w:val="both"/>
        <w:rPr>
          <w:rFonts w:ascii="Arial" w:hAnsi="Arial" w:cs="Arial"/>
          <w:sz w:val="22"/>
          <w:szCs w:val="22"/>
        </w:rPr>
      </w:pPr>
    </w:p>
    <w:p w14:paraId="31A0CA4F" w14:textId="77777777" w:rsidR="00EE7477" w:rsidRPr="00EE7477" w:rsidRDefault="00EE7477" w:rsidP="00EE7477">
      <w:pPr>
        <w:autoSpaceDE w:val="0"/>
        <w:autoSpaceDN w:val="0"/>
        <w:adjustRightInd w:val="0"/>
        <w:rPr>
          <w:rFonts w:ascii="Arial" w:hAnsi="Arial" w:cs="Arial"/>
          <w:sz w:val="22"/>
          <w:szCs w:val="22"/>
          <w:u w:val="single"/>
        </w:rPr>
      </w:pPr>
      <w:r w:rsidRPr="00EE7477">
        <w:rPr>
          <w:rFonts w:ascii="Arial" w:hAnsi="Arial" w:cs="Arial"/>
          <w:sz w:val="22"/>
          <w:szCs w:val="22"/>
          <w:u w:val="single"/>
        </w:rPr>
        <w:t>Studying viral sequence variability and evolution to identify candidate key positions in the viral</w:t>
      </w:r>
    </w:p>
    <w:p w14:paraId="547FCB6B" w14:textId="67EE1B2B" w:rsidR="00EE7477" w:rsidRDefault="00EE7477" w:rsidP="00EE7477">
      <w:pPr>
        <w:autoSpaceDE w:val="0"/>
        <w:autoSpaceDN w:val="0"/>
        <w:adjustRightInd w:val="0"/>
        <w:jc w:val="both"/>
        <w:rPr>
          <w:rFonts w:ascii="Helvetica" w:hAnsi="Helvetica"/>
          <w:b/>
          <w:noProof/>
        </w:rPr>
      </w:pPr>
      <w:r w:rsidRPr="00EE7477">
        <w:rPr>
          <w:rFonts w:ascii="Arial" w:hAnsi="Arial" w:cs="Arial"/>
          <w:sz w:val="22"/>
          <w:szCs w:val="22"/>
          <w:u w:val="single"/>
        </w:rPr>
        <w:t>genome and their prevalence across different lineages</w:t>
      </w:r>
      <w:r w:rsidRPr="00EE7477">
        <w:rPr>
          <w:rFonts w:ascii="Arial" w:hAnsi="Arial" w:cs="Arial"/>
          <w:sz w:val="22"/>
          <w:szCs w:val="22"/>
        </w:rPr>
        <w:t>:</w:t>
      </w:r>
      <w:r>
        <w:rPr>
          <w:rFonts w:ascii="Arial" w:hAnsi="Arial" w:cs="Arial"/>
          <w:sz w:val="22"/>
          <w:szCs w:val="22"/>
        </w:rPr>
        <w:t xml:space="preserve"> </w:t>
      </w:r>
      <w:r w:rsidRPr="00EE7477">
        <w:rPr>
          <w:rFonts w:ascii="Arial" w:hAnsi="Arial" w:cs="Arial"/>
          <w:sz w:val="22"/>
          <w:szCs w:val="22"/>
        </w:rPr>
        <w:t>In the context of New York State, we</w:t>
      </w:r>
      <w:r w:rsidRPr="00EE7477">
        <w:rPr>
          <w:rFonts w:ascii="Arial" w:hAnsi="Arial" w:cs="Arial"/>
          <w:sz w:val="22"/>
          <w:szCs w:val="22"/>
        </w:rPr>
        <w:t xml:space="preserve"> </w:t>
      </w:r>
      <w:r w:rsidRPr="00EE7477">
        <w:rPr>
          <w:rFonts w:ascii="Arial" w:hAnsi="Arial" w:cs="Arial"/>
          <w:sz w:val="22"/>
          <w:szCs w:val="22"/>
        </w:rPr>
        <w:t>downloaded all 1,400 sequences available as of June</w:t>
      </w:r>
      <w:r w:rsidRPr="00EE7477">
        <w:rPr>
          <w:rFonts w:ascii="Arial" w:hAnsi="Arial" w:cs="Arial"/>
          <w:sz w:val="22"/>
          <w:szCs w:val="22"/>
        </w:rPr>
        <w:t xml:space="preserve"> </w:t>
      </w:r>
      <w:r w:rsidRPr="00EE7477">
        <w:rPr>
          <w:rFonts w:ascii="Arial" w:hAnsi="Arial" w:cs="Arial"/>
          <w:sz w:val="22"/>
          <w:szCs w:val="22"/>
        </w:rPr>
        <w:t>29th and aligned them in MAFFT. We obtained 50 reference sequences from GISAID on June 29th and</w:t>
      </w:r>
      <w:r w:rsidRPr="00EE7477">
        <w:rPr>
          <w:rFonts w:ascii="Arial" w:hAnsi="Arial" w:cs="Arial"/>
          <w:sz w:val="22"/>
          <w:szCs w:val="22"/>
        </w:rPr>
        <w:t xml:space="preserve"> </w:t>
      </w:r>
      <w:r w:rsidRPr="00EE7477">
        <w:rPr>
          <w:rFonts w:ascii="Arial" w:hAnsi="Arial" w:cs="Arial"/>
          <w:sz w:val="22"/>
          <w:szCs w:val="22"/>
        </w:rPr>
        <w:t>added</w:t>
      </w:r>
      <w:r w:rsidRPr="00EE7477">
        <w:rPr>
          <w:rFonts w:ascii="Arial" w:hAnsi="Arial" w:cs="Arial"/>
          <w:sz w:val="22"/>
          <w:szCs w:val="22"/>
        </w:rPr>
        <w:t xml:space="preserve"> </w:t>
      </w:r>
      <w:r w:rsidRPr="00EE7477">
        <w:rPr>
          <w:rFonts w:ascii="Arial" w:hAnsi="Arial" w:cs="Arial"/>
          <w:sz w:val="22"/>
          <w:szCs w:val="22"/>
        </w:rPr>
        <w:t>them to the existing New York sequence alignment (</w:t>
      </w:r>
      <w:r w:rsidRPr="00EE7477">
        <w:rPr>
          <w:rFonts w:ascii="Arial" w:hAnsi="Arial" w:cs="Arial"/>
          <w:b/>
          <w:bCs/>
          <w:sz w:val="22"/>
          <w:szCs w:val="22"/>
        </w:rPr>
        <w:t xml:space="preserve">Figure 3 </w:t>
      </w:r>
      <w:proofErr w:type="spellStart"/>
      <w:proofErr w:type="gramStart"/>
      <w:r w:rsidRPr="00EE7477">
        <w:rPr>
          <w:rFonts w:ascii="Arial" w:hAnsi="Arial" w:cs="Arial"/>
          <w:b/>
          <w:bCs/>
          <w:sz w:val="22"/>
          <w:szCs w:val="22"/>
        </w:rPr>
        <w:t>a,b</w:t>
      </w:r>
      <w:proofErr w:type="gramEnd"/>
      <w:r w:rsidRPr="00EE7477">
        <w:rPr>
          <w:rFonts w:ascii="Arial" w:hAnsi="Arial" w:cs="Arial"/>
          <w:b/>
          <w:bCs/>
          <w:sz w:val="22"/>
          <w:szCs w:val="22"/>
        </w:rPr>
        <w:t>,c</w:t>
      </w:r>
      <w:proofErr w:type="spellEnd"/>
      <w:r w:rsidRPr="00EE7477">
        <w:rPr>
          <w:rFonts w:ascii="Arial" w:hAnsi="Arial" w:cs="Arial"/>
          <w:sz w:val="22"/>
          <w:szCs w:val="22"/>
        </w:rPr>
        <w:t>). We analyzed the resulting alignment</w:t>
      </w:r>
      <w:r w:rsidRPr="00EE7477">
        <w:rPr>
          <w:rFonts w:ascii="Arial" w:hAnsi="Arial" w:cs="Arial"/>
          <w:sz w:val="22"/>
          <w:szCs w:val="22"/>
        </w:rPr>
        <w:t xml:space="preserve"> </w:t>
      </w:r>
      <w:r w:rsidRPr="00EE7477">
        <w:rPr>
          <w:rFonts w:ascii="Arial" w:hAnsi="Arial" w:cs="Arial"/>
          <w:sz w:val="22"/>
          <w:szCs w:val="22"/>
        </w:rPr>
        <w:t>in</w:t>
      </w:r>
      <w:r w:rsidRPr="00EE7477">
        <w:rPr>
          <w:rFonts w:ascii="Arial" w:hAnsi="Arial" w:cs="Arial"/>
          <w:sz w:val="22"/>
          <w:szCs w:val="22"/>
        </w:rPr>
        <w:t xml:space="preserve"> </w:t>
      </w:r>
      <w:r w:rsidRPr="00EE7477">
        <w:rPr>
          <w:rFonts w:ascii="Arial" w:hAnsi="Arial" w:cs="Arial"/>
          <w:sz w:val="22"/>
          <w:szCs w:val="22"/>
        </w:rPr>
        <w:t>BEAST (v1 and v2) using tip dates in the sequence header corresponding to the sample collection date.</w:t>
      </w:r>
      <w:r w:rsidRPr="00EE7477">
        <w:rPr>
          <w:rFonts w:ascii="Arial" w:hAnsi="Arial" w:cs="Arial"/>
          <w:sz w:val="22"/>
          <w:szCs w:val="22"/>
        </w:rPr>
        <w:t xml:space="preserve"> </w:t>
      </w:r>
      <w:r w:rsidRPr="00EE7477">
        <w:rPr>
          <w:rFonts w:ascii="Arial" w:hAnsi="Arial" w:cs="Arial"/>
          <w:sz w:val="22"/>
          <w:szCs w:val="22"/>
        </w:rPr>
        <w:t>We</w:t>
      </w:r>
      <w:r w:rsidRPr="00EE7477">
        <w:rPr>
          <w:rFonts w:ascii="Arial" w:hAnsi="Arial" w:cs="Arial"/>
          <w:sz w:val="22"/>
          <w:szCs w:val="22"/>
        </w:rPr>
        <w:t xml:space="preserve"> </w:t>
      </w:r>
      <w:r w:rsidRPr="00EE7477">
        <w:rPr>
          <w:rFonts w:ascii="Arial" w:hAnsi="Arial" w:cs="Arial"/>
          <w:sz w:val="22"/>
          <w:szCs w:val="22"/>
        </w:rPr>
        <w:t>used a strict molecular clock in all analyses along with a GTR substitution model and a gamma +</w:t>
      </w:r>
      <w:r w:rsidRPr="00EE7477">
        <w:rPr>
          <w:rFonts w:ascii="Arial" w:hAnsi="Arial" w:cs="Arial"/>
          <w:sz w:val="22"/>
          <w:szCs w:val="22"/>
        </w:rPr>
        <w:t xml:space="preserve"> </w:t>
      </w:r>
      <w:r w:rsidRPr="00EE7477">
        <w:rPr>
          <w:rFonts w:ascii="Arial" w:hAnsi="Arial" w:cs="Arial"/>
          <w:sz w:val="22"/>
          <w:szCs w:val="22"/>
        </w:rPr>
        <w:t>invariant site</w:t>
      </w:r>
      <w:r w:rsidRPr="00EE7477">
        <w:rPr>
          <w:rFonts w:ascii="Arial" w:hAnsi="Arial" w:cs="Arial"/>
          <w:sz w:val="22"/>
          <w:szCs w:val="22"/>
        </w:rPr>
        <w:t xml:space="preserve"> </w:t>
      </w:r>
      <w:r w:rsidRPr="00EE7477">
        <w:rPr>
          <w:rFonts w:ascii="Arial" w:hAnsi="Arial" w:cs="Arial"/>
          <w:sz w:val="22"/>
          <w:szCs w:val="22"/>
        </w:rPr>
        <w:t>heterogeneity model. We tested different tree models to find the best fit for the data. These included a</w:t>
      </w:r>
      <w:r w:rsidRPr="00EE7477">
        <w:rPr>
          <w:rFonts w:ascii="Arial" w:hAnsi="Arial" w:cs="Arial"/>
          <w:sz w:val="22"/>
          <w:szCs w:val="22"/>
        </w:rPr>
        <w:t xml:space="preserve"> </w:t>
      </w:r>
      <w:r w:rsidRPr="00EE7477">
        <w:rPr>
          <w:rFonts w:ascii="Arial" w:hAnsi="Arial" w:cs="Arial"/>
          <w:sz w:val="22"/>
          <w:szCs w:val="22"/>
        </w:rPr>
        <w:t>coalescent</w:t>
      </w:r>
      <w:r w:rsidRPr="00EE7477">
        <w:rPr>
          <w:rFonts w:ascii="Arial" w:hAnsi="Arial" w:cs="Arial"/>
          <w:sz w:val="22"/>
          <w:szCs w:val="22"/>
        </w:rPr>
        <w:t xml:space="preserve"> </w:t>
      </w:r>
      <w:r w:rsidRPr="00EE7477">
        <w:rPr>
          <w:rFonts w:ascii="Arial" w:hAnsi="Arial" w:cs="Arial"/>
          <w:sz w:val="22"/>
          <w:szCs w:val="22"/>
        </w:rPr>
        <w:t>logistic growth model and a coalescent extended Bayesian skyline plot. We analyzed the MCMC log files</w:t>
      </w:r>
      <w:r w:rsidRPr="00EE7477">
        <w:rPr>
          <w:rFonts w:ascii="Arial" w:hAnsi="Arial" w:cs="Arial"/>
          <w:sz w:val="22"/>
          <w:szCs w:val="22"/>
        </w:rPr>
        <w:t xml:space="preserve"> </w:t>
      </w:r>
      <w:r w:rsidRPr="00EE7477">
        <w:rPr>
          <w:rFonts w:ascii="Arial" w:hAnsi="Arial" w:cs="Arial"/>
          <w:sz w:val="22"/>
          <w:szCs w:val="22"/>
        </w:rPr>
        <w:t>created</w:t>
      </w:r>
      <w:r w:rsidRPr="00EE7477">
        <w:rPr>
          <w:rFonts w:ascii="Arial" w:hAnsi="Arial" w:cs="Arial"/>
          <w:sz w:val="22"/>
          <w:szCs w:val="22"/>
        </w:rPr>
        <w:t xml:space="preserve"> </w:t>
      </w:r>
      <w:r w:rsidRPr="00EE7477">
        <w:rPr>
          <w:rFonts w:ascii="Arial" w:hAnsi="Arial" w:cs="Arial"/>
          <w:sz w:val="22"/>
          <w:szCs w:val="22"/>
        </w:rPr>
        <w:t>by BEAST using Tracer to assess the validity of the tree based on estimated sample size values and the</w:t>
      </w:r>
      <w:r w:rsidRPr="00EE7477">
        <w:rPr>
          <w:rFonts w:ascii="Arial" w:hAnsi="Arial" w:cs="Arial"/>
          <w:sz w:val="22"/>
          <w:szCs w:val="22"/>
        </w:rPr>
        <w:t xml:space="preserve"> </w:t>
      </w:r>
      <w:r w:rsidRPr="00EE7477">
        <w:rPr>
          <w:rFonts w:ascii="Arial" w:hAnsi="Arial" w:cs="Arial"/>
          <w:sz w:val="22"/>
          <w:szCs w:val="22"/>
        </w:rPr>
        <w:t>convergence of the posterior distribution (</w:t>
      </w:r>
      <w:r w:rsidRPr="00EE7477">
        <w:rPr>
          <w:rFonts w:ascii="Arial" w:hAnsi="Arial" w:cs="Arial"/>
          <w:b/>
          <w:bCs/>
          <w:sz w:val="22"/>
          <w:szCs w:val="22"/>
        </w:rPr>
        <w:t>Figure 3</w:t>
      </w:r>
      <w:r w:rsidRPr="00EE7477">
        <w:rPr>
          <w:rFonts w:ascii="Arial" w:hAnsi="Arial" w:cs="Arial"/>
          <w:sz w:val="22"/>
          <w:szCs w:val="22"/>
        </w:rPr>
        <w:t>). Using selected and representative reference</w:t>
      </w:r>
      <w:r w:rsidRPr="00EE7477">
        <w:rPr>
          <w:rFonts w:ascii="Arial" w:hAnsi="Arial" w:cs="Arial"/>
          <w:sz w:val="22"/>
          <w:szCs w:val="22"/>
        </w:rPr>
        <w:t xml:space="preserve"> </w:t>
      </w:r>
      <w:r w:rsidRPr="00EE7477">
        <w:rPr>
          <w:rFonts w:ascii="Arial" w:hAnsi="Arial" w:cs="Arial"/>
          <w:sz w:val="22"/>
          <w:szCs w:val="22"/>
        </w:rPr>
        <w:t>sequences</w:t>
      </w:r>
      <w:r w:rsidRPr="00EE7477">
        <w:rPr>
          <w:rFonts w:ascii="Arial" w:hAnsi="Arial" w:cs="Arial"/>
          <w:sz w:val="22"/>
          <w:szCs w:val="22"/>
        </w:rPr>
        <w:t xml:space="preserve"> </w:t>
      </w:r>
      <w:r w:rsidRPr="00EE7477">
        <w:rPr>
          <w:rFonts w:ascii="Arial" w:hAnsi="Arial" w:cs="Arial"/>
          <w:sz w:val="22"/>
          <w:szCs w:val="22"/>
        </w:rPr>
        <w:t>from the worldwide pandemic (</w:t>
      </w:r>
      <w:r w:rsidRPr="00EE7477">
        <w:rPr>
          <w:rFonts w:ascii="Arial" w:hAnsi="Arial" w:cs="Arial"/>
          <w:b/>
          <w:bCs/>
          <w:sz w:val="22"/>
          <w:szCs w:val="22"/>
        </w:rPr>
        <w:t>Figure 3b</w:t>
      </w:r>
      <w:r w:rsidRPr="00EE7477">
        <w:rPr>
          <w:rFonts w:ascii="Arial" w:hAnsi="Arial" w:cs="Arial"/>
          <w:sz w:val="22"/>
          <w:szCs w:val="22"/>
        </w:rPr>
        <w:t>), our preliminary results suggest that the large majority of New</w:t>
      </w:r>
      <w:r w:rsidRPr="00EE7477">
        <w:rPr>
          <w:rFonts w:ascii="Arial" w:hAnsi="Arial" w:cs="Arial"/>
          <w:sz w:val="22"/>
          <w:szCs w:val="22"/>
        </w:rPr>
        <w:t xml:space="preserve"> </w:t>
      </w:r>
      <w:r w:rsidRPr="00EE7477">
        <w:rPr>
          <w:rFonts w:ascii="Arial" w:hAnsi="Arial" w:cs="Arial"/>
          <w:sz w:val="22"/>
          <w:szCs w:val="22"/>
        </w:rPr>
        <w:t>York</w:t>
      </w:r>
      <w:r w:rsidRPr="00EE7477">
        <w:rPr>
          <w:rFonts w:ascii="Arial" w:hAnsi="Arial" w:cs="Arial"/>
          <w:sz w:val="22"/>
          <w:szCs w:val="22"/>
        </w:rPr>
        <w:t xml:space="preserve"> </w:t>
      </w:r>
      <w:r w:rsidRPr="00EE7477">
        <w:rPr>
          <w:rFonts w:ascii="Arial" w:hAnsi="Arial" w:cs="Arial"/>
          <w:sz w:val="22"/>
          <w:szCs w:val="22"/>
        </w:rPr>
        <w:t>viral sequences form a single outbreak and also suggest distinct lineages within that same local outbreak</w:t>
      </w:r>
      <w:r w:rsidRPr="00EE7477">
        <w:rPr>
          <w:rFonts w:ascii="Arial" w:hAnsi="Arial" w:cs="Arial"/>
          <w:sz w:val="22"/>
          <w:szCs w:val="22"/>
        </w:rPr>
        <w:t xml:space="preserve"> </w:t>
      </w:r>
      <w:r w:rsidRPr="00EE7477">
        <w:rPr>
          <w:rFonts w:ascii="Arial" w:hAnsi="Arial" w:cs="Arial"/>
          <w:sz w:val="22"/>
          <w:szCs w:val="22"/>
        </w:rPr>
        <w:t>(</w:t>
      </w:r>
      <w:r w:rsidRPr="00EE7477">
        <w:rPr>
          <w:rFonts w:ascii="Arial" w:hAnsi="Arial" w:cs="Arial"/>
          <w:b/>
          <w:bCs/>
          <w:sz w:val="22"/>
          <w:szCs w:val="22"/>
        </w:rPr>
        <w:t>Figure</w:t>
      </w:r>
      <w:r w:rsidRPr="00EE7477">
        <w:rPr>
          <w:rFonts w:ascii="Arial" w:hAnsi="Arial" w:cs="Arial"/>
          <w:b/>
          <w:bCs/>
          <w:sz w:val="22"/>
          <w:szCs w:val="22"/>
        </w:rPr>
        <w:t xml:space="preserve"> </w:t>
      </w:r>
      <w:r w:rsidRPr="00EE7477">
        <w:rPr>
          <w:rFonts w:ascii="Arial" w:hAnsi="Arial" w:cs="Arial"/>
          <w:b/>
          <w:bCs/>
          <w:sz w:val="22"/>
          <w:szCs w:val="22"/>
        </w:rPr>
        <w:t>3c</w:t>
      </w:r>
      <w:r w:rsidRPr="00EE7477">
        <w:rPr>
          <w:rFonts w:ascii="Arial" w:hAnsi="Arial" w:cs="Arial"/>
          <w:sz w:val="22"/>
          <w:szCs w:val="22"/>
        </w:rPr>
        <w:t>).</w:t>
      </w:r>
      <w:r w:rsidRPr="00EE7477">
        <w:rPr>
          <w:rFonts w:ascii="Helvetica" w:hAnsi="Helvetica"/>
          <w:b/>
          <w:noProof/>
        </w:rPr>
        <w:t xml:space="preserve"> </w:t>
      </w:r>
    </w:p>
    <w:p w14:paraId="34953C41" w14:textId="041CF802" w:rsidR="00EE7477" w:rsidRDefault="00EE7477" w:rsidP="00EE7477">
      <w:pPr>
        <w:autoSpaceDE w:val="0"/>
        <w:autoSpaceDN w:val="0"/>
        <w:adjustRightInd w:val="0"/>
        <w:jc w:val="both"/>
        <w:rPr>
          <w:rFonts w:ascii="Helvetica" w:hAnsi="Helvetica"/>
          <w:b/>
          <w:noProof/>
        </w:rPr>
      </w:pPr>
      <w:r w:rsidRPr="00A06051">
        <w:rPr>
          <w:rFonts w:ascii="Helvetica" w:hAnsi="Helvetica"/>
          <w:b/>
          <w:noProof/>
        </w:rPr>
        <w:lastRenderedPageBreak/>
        <w:drawing>
          <wp:anchor distT="0" distB="0" distL="114300" distR="114300" simplePos="0" relativeHeight="251659264" behindDoc="1" locked="0" layoutInCell="1" allowOverlap="1" wp14:anchorId="5120D284" wp14:editId="44843B3E">
            <wp:simplePos x="0" y="0"/>
            <wp:positionH relativeFrom="column">
              <wp:posOffset>1168400</wp:posOffset>
            </wp:positionH>
            <wp:positionV relativeFrom="paragraph">
              <wp:posOffset>0</wp:posOffset>
            </wp:positionV>
            <wp:extent cx="3521710" cy="3699510"/>
            <wp:effectExtent l="0" t="0" r="0" b="0"/>
            <wp:wrapTight wrapText="bothSides">
              <wp:wrapPolygon edited="0">
                <wp:start x="0" y="0"/>
                <wp:lineTo x="0" y="21504"/>
                <wp:lineTo x="21499" y="21504"/>
                <wp:lineTo x="21499" y="0"/>
                <wp:lineTo x="0" y="0"/>
              </wp:wrapPolygon>
            </wp:wrapTight>
            <wp:docPr id="1" name="image2.png" descr="A picture containing kite, flying, colorful, peop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picture containing kite, flying, colorful, people&#10;&#10;Description automatically generated"/>
                    <pic:cNvPicPr preferRelativeResize="0"/>
                  </pic:nvPicPr>
                  <pic:blipFill rotWithShape="1">
                    <a:blip r:embed="rId5" cstate="print">
                      <a:extLst>
                        <a:ext uri="{28A0092B-C50C-407E-A947-70E740481C1C}">
                          <a14:useLocalDpi xmlns:a14="http://schemas.microsoft.com/office/drawing/2010/main" val="0"/>
                        </a:ext>
                      </a:extLst>
                    </a:blip>
                    <a:srcRect l="2454" t="1691" b="1499"/>
                    <a:stretch/>
                  </pic:blipFill>
                  <pic:spPr bwMode="auto">
                    <a:xfrm>
                      <a:off x="0" y="0"/>
                      <a:ext cx="3521710" cy="3699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85FE37" w14:textId="66631F52" w:rsidR="00EE7477" w:rsidRDefault="00EE7477" w:rsidP="00EE7477">
      <w:pPr>
        <w:autoSpaceDE w:val="0"/>
        <w:autoSpaceDN w:val="0"/>
        <w:adjustRightInd w:val="0"/>
        <w:jc w:val="both"/>
        <w:rPr>
          <w:rFonts w:ascii="Helvetica" w:hAnsi="Helvetica"/>
          <w:b/>
          <w:noProof/>
        </w:rPr>
      </w:pPr>
    </w:p>
    <w:p w14:paraId="03B56848" w14:textId="722A6141" w:rsidR="00EE7477" w:rsidRDefault="00EE7477" w:rsidP="00EE7477">
      <w:pPr>
        <w:autoSpaceDE w:val="0"/>
        <w:autoSpaceDN w:val="0"/>
        <w:adjustRightInd w:val="0"/>
        <w:jc w:val="both"/>
        <w:rPr>
          <w:rFonts w:ascii="Helvetica" w:hAnsi="Helvetica"/>
          <w:b/>
          <w:noProof/>
        </w:rPr>
      </w:pPr>
    </w:p>
    <w:p w14:paraId="5EE1F3FF" w14:textId="1D5A615E" w:rsidR="00EE7477" w:rsidRDefault="00EE7477" w:rsidP="00EE7477">
      <w:pPr>
        <w:autoSpaceDE w:val="0"/>
        <w:autoSpaceDN w:val="0"/>
        <w:adjustRightInd w:val="0"/>
        <w:jc w:val="both"/>
        <w:rPr>
          <w:rFonts w:ascii="Helvetica" w:hAnsi="Helvetica"/>
          <w:b/>
          <w:noProof/>
        </w:rPr>
      </w:pPr>
    </w:p>
    <w:p w14:paraId="2F5623EC" w14:textId="16ACE73C" w:rsidR="00EE7477" w:rsidRDefault="00EE7477" w:rsidP="00EE7477">
      <w:pPr>
        <w:autoSpaceDE w:val="0"/>
        <w:autoSpaceDN w:val="0"/>
        <w:adjustRightInd w:val="0"/>
        <w:jc w:val="both"/>
        <w:rPr>
          <w:rFonts w:ascii="Helvetica" w:hAnsi="Helvetica"/>
          <w:b/>
          <w:noProof/>
        </w:rPr>
      </w:pPr>
    </w:p>
    <w:p w14:paraId="022F9BC1" w14:textId="7776DC01" w:rsidR="00EE7477" w:rsidRDefault="00EE7477" w:rsidP="00EE7477">
      <w:pPr>
        <w:autoSpaceDE w:val="0"/>
        <w:autoSpaceDN w:val="0"/>
        <w:adjustRightInd w:val="0"/>
        <w:jc w:val="both"/>
        <w:rPr>
          <w:rFonts w:ascii="Helvetica" w:hAnsi="Helvetica"/>
          <w:b/>
          <w:noProof/>
        </w:rPr>
      </w:pPr>
    </w:p>
    <w:p w14:paraId="25E3089B" w14:textId="11CDDEA1" w:rsidR="00EE7477" w:rsidRDefault="00EE7477" w:rsidP="00EE7477">
      <w:pPr>
        <w:autoSpaceDE w:val="0"/>
        <w:autoSpaceDN w:val="0"/>
        <w:adjustRightInd w:val="0"/>
        <w:jc w:val="both"/>
        <w:rPr>
          <w:rFonts w:ascii="Helvetica" w:hAnsi="Helvetica"/>
          <w:b/>
          <w:noProof/>
        </w:rPr>
      </w:pPr>
    </w:p>
    <w:p w14:paraId="21E2826F" w14:textId="09B29BCB" w:rsidR="00EE7477" w:rsidRDefault="00EE7477" w:rsidP="00EE7477">
      <w:pPr>
        <w:autoSpaceDE w:val="0"/>
        <w:autoSpaceDN w:val="0"/>
        <w:adjustRightInd w:val="0"/>
        <w:jc w:val="both"/>
        <w:rPr>
          <w:rFonts w:ascii="Helvetica" w:hAnsi="Helvetica"/>
          <w:b/>
          <w:noProof/>
        </w:rPr>
      </w:pPr>
    </w:p>
    <w:p w14:paraId="240F6874" w14:textId="7E26FC55" w:rsidR="00EE7477" w:rsidRDefault="00EE7477" w:rsidP="00EE7477">
      <w:pPr>
        <w:autoSpaceDE w:val="0"/>
        <w:autoSpaceDN w:val="0"/>
        <w:adjustRightInd w:val="0"/>
        <w:jc w:val="both"/>
        <w:rPr>
          <w:rFonts w:ascii="Helvetica" w:hAnsi="Helvetica"/>
          <w:b/>
          <w:noProof/>
        </w:rPr>
      </w:pPr>
    </w:p>
    <w:p w14:paraId="38AB530C" w14:textId="1F9DCB1A" w:rsidR="00EE7477" w:rsidRDefault="00EE7477" w:rsidP="00EE7477">
      <w:pPr>
        <w:autoSpaceDE w:val="0"/>
        <w:autoSpaceDN w:val="0"/>
        <w:adjustRightInd w:val="0"/>
        <w:jc w:val="both"/>
        <w:rPr>
          <w:rFonts w:ascii="Helvetica" w:hAnsi="Helvetica"/>
          <w:b/>
          <w:noProof/>
        </w:rPr>
      </w:pPr>
    </w:p>
    <w:p w14:paraId="038572D3" w14:textId="3192BBFB" w:rsidR="00EE7477" w:rsidRDefault="00EE7477" w:rsidP="00EE7477">
      <w:pPr>
        <w:autoSpaceDE w:val="0"/>
        <w:autoSpaceDN w:val="0"/>
        <w:adjustRightInd w:val="0"/>
        <w:jc w:val="both"/>
        <w:rPr>
          <w:rFonts w:ascii="Helvetica" w:hAnsi="Helvetica"/>
          <w:b/>
          <w:noProof/>
        </w:rPr>
      </w:pPr>
    </w:p>
    <w:p w14:paraId="65424FEB" w14:textId="3C00CC01" w:rsidR="00EE7477" w:rsidRDefault="00EE7477" w:rsidP="00EE7477">
      <w:pPr>
        <w:autoSpaceDE w:val="0"/>
        <w:autoSpaceDN w:val="0"/>
        <w:adjustRightInd w:val="0"/>
        <w:jc w:val="both"/>
        <w:rPr>
          <w:rFonts w:ascii="Helvetica" w:hAnsi="Helvetica"/>
          <w:b/>
          <w:noProof/>
        </w:rPr>
      </w:pPr>
    </w:p>
    <w:p w14:paraId="059F0FD8" w14:textId="422F7DE7" w:rsidR="00EE7477" w:rsidRDefault="00EE7477" w:rsidP="00EE7477">
      <w:pPr>
        <w:autoSpaceDE w:val="0"/>
        <w:autoSpaceDN w:val="0"/>
        <w:adjustRightInd w:val="0"/>
        <w:jc w:val="both"/>
        <w:rPr>
          <w:rFonts w:ascii="Helvetica" w:hAnsi="Helvetica"/>
          <w:b/>
          <w:noProof/>
        </w:rPr>
      </w:pPr>
    </w:p>
    <w:p w14:paraId="32FDD5BE" w14:textId="4EFDB729" w:rsidR="00EE7477" w:rsidRDefault="00EE7477" w:rsidP="00EE7477">
      <w:pPr>
        <w:autoSpaceDE w:val="0"/>
        <w:autoSpaceDN w:val="0"/>
        <w:adjustRightInd w:val="0"/>
        <w:jc w:val="both"/>
        <w:rPr>
          <w:rFonts w:ascii="Helvetica" w:hAnsi="Helvetica"/>
          <w:b/>
          <w:noProof/>
        </w:rPr>
      </w:pPr>
    </w:p>
    <w:p w14:paraId="76687143" w14:textId="1FCE2196" w:rsidR="00EE7477" w:rsidRDefault="00EE7477" w:rsidP="00EE7477">
      <w:pPr>
        <w:autoSpaceDE w:val="0"/>
        <w:autoSpaceDN w:val="0"/>
        <w:adjustRightInd w:val="0"/>
        <w:jc w:val="both"/>
        <w:rPr>
          <w:rFonts w:ascii="Helvetica" w:hAnsi="Helvetica"/>
          <w:b/>
          <w:noProof/>
        </w:rPr>
      </w:pPr>
    </w:p>
    <w:p w14:paraId="41EB2FEA" w14:textId="7699F53A" w:rsidR="00EE7477" w:rsidRDefault="00EE7477" w:rsidP="00EE7477">
      <w:pPr>
        <w:autoSpaceDE w:val="0"/>
        <w:autoSpaceDN w:val="0"/>
        <w:adjustRightInd w:val="0"/>
        <w:jc w:val="both"/>
        <w:rPr>
          <w:rFonts w:ascii="Helvetica" w:hAnsi="Helvetica"/>
          <w:b/>
          <w:noProof/>
        </w:rPr>
      </w:pPr>
    </w:p>
    <w:p w14:paraId="0B61AE61" w14:textId="3D6B7FE7" w:rsidR="00EE7477" w:rsidRDefault="00EE7477" w:rsidP="00EE7477">
      <w:pPr>
        <w:autoSpaceDE w:val="0"/>
        <w:autoSpaceDN w:val="0"/>
        <w:adjustRightInd w:val="0"/>
        <w:jc w:val="both"/>
        <w:rPr>
          <w:rFonts w:ascii="Helvetica" w:hAnsi="Helvetica"/>
          <w:b/>
          <w:noProof/>
        </w:rPr>
      </w:pPr>
    </w:p>
    <w:p w14:paraId="60169164" w14:textId="5CD48650" w:rsidR="00EE7477" w:rsidRDefault="00EE7477" w:rsidP="00EE7477">
      <w:pPr>
        <w:autoSpaceDE w:val="0"/>
        <w:autoSpaceDN w:val="0"/>
        <w:adjustRightInd w:val="0"/>
        <w:jc w:val="both"/>
        <w:rPr>
          <w:rFonts w:ascii="Helvetica" w:hAnsi="Helvetica"/>
          <w:b/>
          <w:noProof/>
        </w:rPr>
      </w:pPr>
    </w:p>
    <w:p w14:paraId="603194DC" w14:textId="6928A80B" w:rsidR="00EE7477" w:rsidRDefault="00EE7477" w:rsidP="00EE7477">
      <w:pPr>
        <w:autoSpaceDE w:val="0"/>
        <w:autoSpaceDN w:val="0"/>
        <w:adjustRightInd w:val="0"/>
        <w:jc w:val="both"/>
        <w:rPr>
          <w:rFonts w:ascii="Helvetica" w:hAnsi="Helvetica"/>
          <w:b/>
          <w:noProof/>
        </w:rPr>
      </w:pPr>
    </w:p>
    <w:p w14:paraId="57C38BF4" w14:textId="25DA4EAC" w:rsidR="00EE7477" w:rsidRDefault="003503CA" w:rsidP="00EE7477">
      <w:pPr>
        <w:autoSpaceDE w:val="0"/>
        <w:autoSpaceDN w:val="0"/>
        <w:adjustRightInd w:val="0"/>
        <w:jc w:val="both"/>
        <w:rPr>
          <w:rFonts w:ascii="Helvetica" w:hAnsi="Helvetica"/>
          <w:b/>
          <w:noProof/>
        </w:rPr>
      </w:pPr>
      <w:r>
        <w:rPr>
          <w:noProof/>
        </w:rPr>
        <mc:AlternateContent>
          <mc:Choice Requires="wps">
            <w:drawing>
              <wp:anchor distT="0" distB="0" distL="114300" distR="114300" simplePos="0" relativeHeight="251661312" behindDoc="1" locked="0" layoutInCell="1" allowOverlap="1" wp14:anchorId="61C943A1" wp14:editId="2391EE76">
                <wp:simplePos x="0" y="0"/>
                <wp:positionH relativeFrom="column">
                  <wp:posOffset>179424</wp:posOffset>
                </wp:positionH>
                <wp:positionV relativeFrom="paragraph">
                  <wp:posOffset>355600</wp:posOffset>
                </wp:positionV>
                <wp:extent cx="5473700" cy="2133600"/>
                <wp:effectExtent l="0" t="0" r="0" b="0"/>
                <wp:wrapTight wrapText="bothSides">
                  <wp:wrapPolygon edited="0">
                    <wp:start x="0" y="0"/>
                    <wp:lineTo x="0" y="21471"/>
                    <wp:lineTo x="21550" y="21471"/>
                    <wp:lineTo x="2155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473700" cy="2133600"/>
                        </a:xfrm>
                        <a:prstGeom prst="rect">
                          <a:avLst/>
                        </a:prstGeom>
                        <a:solidFill>
                          <a:prstClr val="white"/>
                        </a:solidFill>
                        <a:ln>
                          <a:noFill/>
                        </a:ln>
                      </wps:spPr>
                      <wps:txbx>
                        <w:txbxContent>
                          <w:p w14:paraId="58E7C881" w14:textId="03EB6972" w:rsidR="00EE7477" w:rsidRPr="00EE7477" w:rsidRDefault="00EE7477" w:rsidP="00EE7477">
                            <w:pPr>
                              <w:pStyle w:val="Caption"/>
                              <w:jc w:val="both"/>
                              <w:rPr>
                                <w:rFonts w:ascii="Arial" w:hAnsi="Arial" w:cs="Arial"/>
                                <w:b/>
                                <w:i w:val="0"/>
                                <w:iCs w:val="0"/>
                                <w:noProof/>
                                <w:color w:val="000000" w:themeColor="text1"/>
                                <w:sz w:val="22"/>
                                <w:szCs w:val="22"/>
                              </w:rPr>
                            </w:pPr>
                            <w:r w:rsidRPr="00EE7477">
                              <w:rPr>
                                <w:rFonts w:ascii="Arial" w:hAnsi="Arial" w:cs="Arial"/>
                                <w:b/>
                                <w:bCs/>
                                <w:i w:val="0"/>
                                <w:iCs w:val="0"/>
                                <w:color w:val="000000" w:themeColor="text1"/>
                                <w:sz w:val="22"/>
                                <w:szCs w:val="22"/>
                              </w:rPr>
                              <w:t>Figure 3</w:t>
                            </w:r>
                            <w:r w:rsidRPr="00EE7477">
                              <w:rPr>
                                <w:rFonts w:ascii="Arial" w:hAnsi="Arial" w:cs="Arial"/>
                                <w:i w:val="0"/>
                                <w:iCs w:val="0"/>
                                <w:color w:val="000000" w:themeColor="text1"/>
                                <w:sz w:val="22"/>
                                <w:szCs w:val="22"/>
                              </w:rPr>
                              <w:t>. (</w:t>
                            </w:r>
                            <w:r w:rsidRPr="00EE7477">
                              <w:rPr>
                                <w:rFonts w:ascii="Arial" w:hAnsi="Arial" w:cs="Arial"/>
                                <w:b/>
                                <w:bCs/>
                                <w:i w:val="0"/>
                                <w:iCs w:val="0"/>
                                <w:color w:val="000000" w:themeColor="text1"/>
                                <w:sz w:val="22"/>
                                <w:szCs w:val="22"/>
                              </w:rPr>
                              <w:t>a</w:t>
                            </w:r>
                            <w:r w:rsidRPr="00EE7477">
                              <w:rPr>
                                <w:rFonts w:ascii="Arial" w:hAnsi="Arial" w:cs="Arial"/>
                                <w:i w:val="0"/>
                                <w:iCs w:val="0"/>
                                <w:color w:val="000000" w:themeColor="text1"/>
                                <w:sz w:val="22"/>
                                <w:szCs w:val="22"/>
                              </w:rPr>
                              <w:t xml:space="preserve">) An unrooted phylogenetic tree based on a global subsampling of 3,746 SARS-CoV-2 genomes sampled between Dec. 2019 and July 2020, downloaded from nextstrain.org on 07/17/2020. According to nextstrain.org, worldwide sequences are divided into 5 </w:t>
                            </w:r>
                            <w:r w:rsidRPr="00EE7477">
                              <w:rPr>
                                <w:rFonts w:ascii="Arial" w:hAnsi="Arial" w:cs="Arial"/>
                                <w:i w:val="0"/>
                                <w:iCs w:val="0"/>
                                <w:color w:val="000000" w:themeColor="text1"/>
                                <w:sz w:val="22"/>
                                <w:szCs w:val="22"/>
                              </w:rPr>
                              <w:t>main lineages (19A, 19B, 20A, 20B and 20C) denoting different outbreaks of the pandemic.  (</w:t>
                            </w:r>
                            <w:r w:rsidRPr="00EE7477">
                              <w:rPr>
                                <w:rFonts w:ascii="Arial" w:hAnsi="Arial" w:cs="Arial"/>
                                <w:b/>
                                <w:bCs/>
                                <w:i w:val="0"/>
                                <w:iCs w:val="0"/>
                                <w:color w:val="000000" w:themeColor="text1"/>
                                <w:sz w:val="22"/>
                                <w:szCs w:val="22"/>
                              </w:rPr>
                              <w:t>b</w:t>
                            </w:r>
                            <w:r w:rsidRPr="00EE7477">
                              <w:rPr>
                                <w:rFonts w:ascii="Arial" w:hAnsi="Arial" w:cs="Arial"/>
                                <w:i w:val="0"/>
                                <w:iCs w:val="0"/>
                                <w:color w:val="000000" w:themeColor="text1"/>
                                <w:sz w:val="22"/>
                                <w:szCs w:val="22"/>
                              </w:rPr>
                              <w:t>) Our selected 50 reference sequences spanning the nextstrain.org tree across the 5 main lineages. (</w:t>
                            </w:r>
                            <w:r w:rsidRPr="00EE7477">
                              <w:rPr>
                                <w:rFonts w:ascii="Arial" w:hAnsi="Arial" w:cs="Arial"/>
                                <w:b/>
                                <w:bCs/>
                                <w:i w:val="0"/>
                                <w:iCs w:val="0"/>
                                <w:color w:val="000000" w:themeColor="text1"/>
                                <w:sz w:val="22"/>
                                <w:szCs w:val="22"/>
                              </w:rPr>
                              <w:t>c</w:t>
                            </w:r>
                            <w:r w:rsidRPr="00EE7477">
                              <w:rPr>
                                <w:rFonts w:ascii="Arial" w:hAnsi="Arial" w:cs="Arial"/>
                                <w:i w:val="0"/>
                                <w:iCs w:val="0"/>
                                <w:color w:val="000000" w:themeColor="text1"/>
                                <w:sz w:val="22"/>
                                <w:szCs w:val="22"/>
                              </w:rPr>
                              <w:t>) Alignment of the 50 reference sequences from (</w:t>
                            </w:r>
                            <w:r w:rsidRPr="00EE7477">
                              <w:rPr>
                                <w:rFonts w:ascii="Arial" w:hAnsi="Arial" w:cs="Arial"/>
                                <w:b/>
                                <w:bCs/>
                                <w:i w:val="0"/>
                                <w:iCs w:val="0"/>
                                <w:color w:val="000000" w:themeColor="text1"/>
                                <w:sz w:val="22"/>
                                <w:szCs w:val="22"/>
                              </w:rPr>
                              <w:t>b</w:t>
                            </w:r>
                            <w:r w:rsidRPr="00EE7477">
                              <w:rPr>
                                <w:rFonts w:ascii="Arial" w:hAnsi="Arial" w:cs="Arial"/>
                                <w:i w:val="0"/>
                                <w:iCs w:val="0"/>
                                <w:color w:val="000000" w:themeColor="text1"/>
                                <w:sz w:val="22"/>
                                <w:szCs w:val="22"/>
                              </w:rPr>
                              <w:t>) with 1480 sequences from the New York outbreak, available as of 06/29/20 on GISAID. We inferred a phylogenetic tree using an extended Bayesian skyline coalescent model under a strict clock and constraints on tip dates. New York taxa labels are colored by date (dark blue for February and March, light blue for April, green for May). Reference sequences are colored according to their clade of origin. Our tree suggests that New York sequences largely form their respective outbreak event, clustering within group 20A.</w:t>
                            </w:r>
                            <w:r w:rsidRPr="00EE7477">
                              <w:rPr>
                                <w:rFonts w:ascii="Arial" w:eastAsia="Times New Roman" w:hAnsi="Arial" w:cs="Arial"/>
                                <w:color w:val="000000" w:themeColor="text1"/>
                                <w:sz w:val="21"/>
                                <w:szCs w:val="21"/>
                                <w:shd w:val="clear" w:color="auto" w:fill="FFFFF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943A1" id="_x0000_t202" coordsize="21600,21600" o:spt="202" path="m,l,21600r21600,l21600,xe">
                <v:stroke joinstyle="miter"/>
                <v:path gradientshapeok="t" o:connecttype="rect"/>
              </v:shapetype>
              <v:shape id="Text Box 2" o:spid="_x0000_s1026" type="#_x0000_t202" style="position:absolute;left:0;text-align:left;margin-left:14.15pt;margin-top:28pt;width:431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" stroked="f">
                <v:textbox inset="0,0,0,0">
                  <w:txbxContent>
                    <w:p w14:paraId="58E7C881" w14:textId="03EB6972" w:rsidR="00EE7477" w:rsidRPr="00EE7477" w:rsidRDefault="00EE7477" w:rsidP="00EE7477">
                      <w:pPr>
                        <w:pStyle w:val="Caption"/>
                        <w:jc w:val="both"/>
                        <w:rPr>
                          <w:rFonts w:ascii="Arial" w:hAnsi="Arial" w:cs="Arial"/>
                          <w:b/>
                          <w:i w:val="0"/>
                          <w:iCs w:val="0"/>
                          <w:noProof/>
                          <w:color w:val="000000" w:themeColor="text1"/>
                          <w:sz w:val="22"/>
                          <w:szCs w:val="22"/>
                        </w:rPr>
                      </w:pPr>
                      <w:r w:rsidRPr="00EE7477">
                        <w:rPr>
                          <w:rFonts w:ascii="Arial" w:hAnsi="Arial" w:cs="Arial"/>
                          <w:b/>
                          <w:bCs/>
                          <w:i w:val="0"/>
                          <w:iCs w:val="0"/>
                          <w:color w:val="000000" w:themeColor="text1"/>
                          <w:sz w:val="22"/>
                          <w:szCs w:val="22"/>
                        </w:rPr>
                        <w:t>Figure 3</w:t>
                      </w:r>
                      <w:r w:rsidRPr="00EE7477">
                        <w:rPr>
                          <w:rFonts w:ascii="Arial" w:hAnsi="Arial" w:cs="Arial"/>
                          <w:i w:val="0"/>
                          <w:iCs w:val="0"/>
                          <w:color w:val="000000" w:themeColor="text1"/>
                          <w:sz w:val="22"/>
                          <w:szCs w:val="22"/>
                        </w:rPr>
                        <w:t>. (</w:t>
                      </w:r>
                      <w:r w:rsidRPr="00EE7477">
                        <w:rPr>
                          <w:rFonts w:ascii="Arial" w:hAnsi="Arial" w:cs="Arial"/>
                          <w:b/>
                          <w:bCs/>
                          <w:i w:val="0"/>
                          <w:iCs w:val="0"/>
                          <w:color w:val="000000" w:themeColor="text1"/>
                          <w:sz w:val="22"/>
                          <w:szCs w:val="22"/>
                        </w:rPr>
                        <w:t>a</w:t>
                      </w:r>
                      <w:r w:rsidRPr="00EE7477">
                        <w:rPr>
                          <w:rFonts w:ascii="Arial" w:hAnsi="Arial" w:cs="Arial"/>
                          <w:i w:val="0"/>
                          <w:iCs w:val="0"/>
                          <w:color w:val="000000" w:themeColor="text1"/>
                          <w:sz w:val="22"/>
                          <w:szCs w:val="22"/>
                        </w:rPr>
                        <w:t xml:space="preserve">) An unrooted phylogenetic tree based on a global subsampling of 3,746 SARS-CoV-2 genomes sampled between Dec. 2019 and July 2020, downloaded from nextstrain.org on 07/17/2020. According to nextstrain.org, worldwide sequences are divided into 5 </w:t>
                      </w:r>
                      <w:r w:rsidRPr="00EE7477">
                        <w:rPr>
                          <w:rFonts w:ascii="Arial" w:hAnsi="Arial" w:cs="Arial"/>
                          <w:i w:val="0"/>
                          <w:iCs w:val="0"/>
                          <w:color w:val="000000" w:themeColor="text1"/>
                          <w:sz w:val="22"/>
                          <w:szCs w:val="22"/>
                        </w:rPr>
                        <w:t>main lineages (19A, 19B, 20A, 20B and 20C) denoting different outbreaks of the pandemic.  (</w:t>
                      </w:r>
                      <w:r w:rsidRPr="00EE7477">
                        <w:rPr>
                          <w:rFonts w:ascii="Arial" w:hAnsi="Arial" w:cs="Arial"/>
                          <w:b/>
                          <w:bCs/>
                          <w:i w:val="0"/>
                          <w:iCs w:val="0"/>
                          <w:color w:val="000000" w:themeColor="text1"/>
                          <w:sz w:val="22"/>
                          <w:szCs w:val="22"/>
                        </w:rPr>
                        <w:t>b</w:t>
                      </w:r>
                      <w:r w:rsidRPr="00EE7477">
                        <w:rPr>
                          <w:rFonts w:ascii="Arial" w:hAnsi="Arial" w:cs="Arial"/>
                          <w:i w:val="0"/>
                          <w:iCs w:val="0"/>
                          <w:color w:val="000000" w:themeColor="text1"/>
                          <w:sz w:val="22"/>
                          <w:szCs w:val="22"/>
                        </w:rPr>
                        <w:t>) Our selected 50 reference sequences spanning the nextstrain.org tree across the 5 main lineages. (</w:t>
                      </w:r>
                      <w:r w:rsidRPr="00EE7477">
                        <w:rPr>
                          <w:rFonts w:ascii="Arial" w:hAnsi="Arial" w:cs="Arial"/>
                          <w:b/>
                          <w:bCs/>
                          <w:i w:val="0"/>
                          <w:iCs w:val="0"/>
                          <w:color w:val="000000" w:themeColor="text1"/>
                          <w:sz w:val="22"/>
                          <w:szCs w:val="22"/>
                        </w:rPr>
                        <w:t>c</w:t>
                      </w:r>
                      <w:r w:rsidRPr="00EE7477">
                        <w:rPr>
                          <w:rFonts w:ascii="Arial" w:hAnsi="Arial" w:cs="Arial"/>
                          <w:i w:val="0"/>
                          <w:iCs w:val="0"/>
                          <w:color w:val="000000" w:themeColor="text1"/>
                          <w:sz w:val="22"/>
                          <w:szCs w:val="22"/>
                        </w:rPr>
                        <w:t>) Alignment of the 50 reference sequences from (</w:t>
                      </w:r>
                      <w:r w:rsidRPr="00EE7477">
                        <w:rPr>
                          <w:rFonts w:ascii="Arial" w:hAnsi="Arial" w:cs="Arial"/>
                          <w:b/>
                          <w:bCs/>
                          <w:i w:val="0"/>
                          <w:iCs w:val="0"/>
                          <w:color w:val="000000" w:themeColor="text1"/>
                          <w:sz w:val="22"/>
                          <w:szCs w:val="22"/>
                        </w:rPr>
                        <w:t>b</w:t>
                      </w:r>
                      <w:r w:rsidRPr="00EE7477">
                        <w:rPr>
                          <w:rFonts w:ascii="Arial" w:hAnsi="Arial" w:cs="Arial"/>
                          <w:i w:val="0"/>
                          <w:iCs w:val="0"/>
                          <w:color w:val="000000" w:themeColor="text1"/>
                          <w:sz w:val="22"/>
                          <w:szCs w:val="22"/>
                        </w:rPr>
                        <w:t>) with 1480 sequences from the New York outbreak, available as of 06/29/20 on GISAID. We inferred a phylogenetic tree using an extended Bayesian skyline coalescent model under a strict clock and constraints on tip dates. New York taxa labels are colored by date (dark blue for February and March, light blue for April, green for May). Reference sequences are colored according to their clade of origin. Our tree suggests that New York sequences largely form their respective outbreak event, clustering within group 20A.</w:t>
                      </w:r>
                      <w:r w:rsidRPr="00EE7477">
                        <w:rPr>
                          <w:rFonts w:ascii="Arial" w:eastAsia="Times New Roman" w:hAnsi="Arial" w:cs="Arial"/>
                          <w:color w:val="000000" w:themeColor="text1"/>
                          <w:sz w:val="21"/>
                          <w:szCs w:val="21"/>
                          <w:shd w:val="clear" w:color="auto" w:fill="FFFFFF"/>
                        </w:rPr>
                        <w:t xml:space="preserve">  </w:t>
                      </w:r>
                    </w:p>
                  </w:txbxContent>
                </v:textbox>
                <w10:wrap type="tight"/>
              </v:shape>
            </w:pict>
          </mc:Fallback>
        </mc:AlternateContent>
      </w:r>
    </w:p>
    <w:p w14:paraId="490149C8" w14:textId="77777777" w:rsidR="003503CA" w:rsidRDefault="003503CA" w:rsidP="003503CA">
      <w:pPr>
        <w:autoSpaceDE w:val="0"/>
        <w:autoSpaceDN w:val="0"/>
        <w:adjustRightInd w:val="0"/>
        <w:jc w:val="both"/>
        <w:rPr>
          <w:rFonts w:ascii="Helvetica" w:hAnsi="Helvetica"/>
          <w:b/>
          <w:noProof/>
        </w:rPr>
      </w:pPr>
    </w:p>
    <w:p w14:paraId="311ECC5B" w14:textId="1D1894F0" w:rsidR="00EE7477" w:rsidRPr="003503CA" w:rsidRDefault="00EE7477" w:rsidP="003503CA">
      <w:pPr>
        <w:autoSpaceDE w:val="0"/>
        <w:autoSpaceDN w:val="0"/>
        <w:adjustRightInd w:val="0"/>
        <w:jc w:val="both"/>
        <w:rPr>
          <w:rFonts w:ascii="Times New Roman" w:hAnsi="Times New Roman" w:cs="Times New Roman"/>
          <w:color w:val="191919"/>
          <w:sz w:val="22"/>
          <w:szCs w:val="22"/>
        </w:rPr>
      </w:pPr>
      <w:r w:rsidRPr="00EE7477">
        <w:rPr>
          <w:rFonts w:ascii="Arial" w:hAnsi="Arial" w:cs="Arial"/>
          <w:sz w:val="22"/>
          <w:szCs w:val="22"/>
          <w:u w:val="single"/>
        </w:rPr>
        <w:t>Globally evaluating the constraints on host sequence variation</w:t>
      </w:r>
      <w:r>
        <w:rPr>
          <w:rFonts w:ascii="Arial" w:hAnsi="Arial" w:cs="Arial"/>
          <w:sz w:val="22"/>
          <w:szCs w:val="22"/>
        </w:rPr>
        <w:t xml:space="preserve">: </w:t>
      </w:r>
      <w:r w:rsidR="003503CA" w:rsidRPr="003503CA">
        <w:rPr>
          <w:rFonts w:ascii="Arial" w:hAnsi="Arial" w:cs="Arial"/>
          <w:color w:val="191919"/>
          <w:sz w:val="22"/>
          <w:szCs w:val="22"/>
        </w:rPr>
        <w:t>Our work on host protein variation will be based on our previous studies in this area. In</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particular, we have extensively analyzed patterns of genetic variation in non-coding regions, along with</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their</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coding targets. Our work employs metrics such as diversity and fraction of rare variants to characterize</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selection</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on various classes and subclasses of functional annotations. In recent studies, we developed a collection</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of tools</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that can identify sensitive and ultra-sensitive regions (i.e., those annotations under strong selective</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pressure, as</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determined using genomes from many individuals from diverse populations)</w:t>
      </w:r>
      <w:r w:rsidR="003503CA">
        <w:rPr>
          <w:rFonts w:ascii="Arial" w:hAnsi="Arial" w:cs="Arial"/>
          <w:color w:val="191919"/>
          <w:sz w:val="22"/>
          <w:szCs w:val="22"/>
        </w:rPr>
        <w:t xml:space="preserve"> </w:t>
      </w:r>
      <w:r w:rsidR="003503CA">
        <w:rPr>
          <w:rFonts w:ascii="Arial" w:hAnsi="Arial" w:cs="Arial"/>
          <w:color w:val="191919"/>
          <w:sz w:val="22"/>
          <w:szCs w:val="22"/>
          <w:vertAlign w:val="superscript"/>
        </w:rPr>
        <w:t>29,41,42</w:t>
      </w:r>
      <w:r w:rsidR="003503CA" w:rsidRPr="003503CA">
        <w:rPr>
          <w:rFonts w:ascii="Arial" w:hAnsi="Arial" w:cs="Arial"/>
          <w:color w:val="191919"/>
          <w:sz w:val="22"/>
          <w:szCs w:val="22"/>
        </w:rPr>
        <w:t xml:space="preserve">. </w:t>
      </w:r>
      <w:proofErr w:type="spellStart"/>
      <w:r w:rsidR="003503CA" w:rsidRPr="003503CA">
        <w:rPr>
          <w:rFonts w:ascii="Arial" w:hAnsi="Arial" w:cs="Arial"/>
          <w:color w:val="191919"/>
          <w:sz w:val="22"/>
          <w:szCs w:val="22"/>
        </w:rPr>
        <w:t>FunSeq</w:t>
      </w:r>
      <w:proofErr w:type="spellEnd"/>
      <w:r w:rsidR="003503CA" w:rsidRPr="003503CA">
        <w:rPr>
          <w:rFonts w:ascii="Arial" w:hAnsi="Arial" w:cs="Arial"/>
          <w:color w:val="191919"/>
          <w:sz w:val="22"/>
          <w:szCs w:val="22"/>
        </w:rPr>
        <w:t xml:space="preserve"> links each</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noncoding</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mutation to target genes and prioritizes such variants based on scaled network connectivity</w:t>
      </w:r>
      <w:r w:rsidR="003503CA">
        <w:rPr>
          <w:rFonts w:ascii="Arial" w:hAnsi="Arial" w:cs="Arial"/>
          <w:color w:val="191919"/>
          <w:sz w:val="22"/>
          <w:szCs w:val="22"/>
        </w:rPr>
        <w:t xml:space="preserve"> </w:t>
      </w:r>
      <w:r w:rsidR="003503CA">
        <w:rPr>
          <w:rFonts w:ascii="Arial" w:hAnsi="Arial" w:cs="Arial"/>
          <w:color w:val="191919"/>
          <w:sz w:val="22"/>
          <w:szCs w:val="22"/>
          <w:vertAlign w:val="superscript"/>
        </w:rPr>
        <w:t>29,41</w:t>
      </w:r>
      <w:r w:rsidR="003503CA" w:rsidRPr="003503CA">
        <w:rPr>
          <w:rFonts w:ascii="Arial" w:hAnsi="Arial" w:cs="Arial"/>
          <w:color w:val="191919"/>
          <w:sz w:val="22"/>
          <w:szCs w:val="22"/>
        </w:rPr>
        <w:t>. This</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tool identifies deleterious variants in many non-coding functional elements, including transcription factor</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(TF)</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binding sites, enhancer elements, and regions of open chromatin corresponding to DNase I hypersensitive</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sites.</w:t>
      </w:r>
      <w:r w:rsidR="003503CA" w:rsidRPr="003503CA">
        <w:rPr>
          <w:rFonts w:ascii="Arial" w:hAnsi="Arial" w:cs="Arial"/>
          <w:color w:val="191919"/>
          <w:sz w:val="22"/>
          <w:szCs w:val="22"/>
        </w:rPr>
        <w:t xml:space="preserve"> </w:t>
      </w:r>
      <w:proofErr w:type="spellStart"/>
      <w:r w:rsidR="003503CA" w:rsidRPr="003503CA">
        <w:rPr>
          <w:rFonts w:ascii="Arial" w:hAnsi="Arial" w:cs="Arial"/>
          <w:color w:val="191919"/>
          <w:sz w:val="22"/>
          <w:szCs w:val="22"/>
        </w:rPr>
        <w:t>FunSeq</w:t>
      </w:r>
      <w:proofErr w:type="spellEnd"/>
      <w:r w:rsidR="003503CA" w:rsidRPr="003503CA">
        <w:rPr>
          <w:rFonts w:ascii="Arial" w:hAnsi="Arial" w:cs="Arial"/>
          <w:color w:val="191919"/>
          <w:sz w:val="22"/>
          <w:szCs w:val="22"/>
        </w:rPr>
        <w:t xml:space="preserve"> also detects the disruptiveness of variants in TF binding sites (both </w:t>
      </w:r>
      <w:proofErr w:type="spellStart"/>
      <w:r w:rsidR="003503CA" w:rsidRPr="003503CA">
        <w:rPr>
          <w:rFonts w:ascii="Arial" w:hAnsi="Arial" w:cs="Arial"/>
          <w:color w:val="191919"/>
          <w:sz w:val="22"/>
          <w:szCs w:val="22"/>
        </w:rPr>
        <w:t>LoF</w:t>
      </w:r>
      <w:proofErr w:type="spellEnd"/>
      <w:r w:rsidR="003503CA" w:rsidRPr="003503CA">
        <w:rPr>
          <w:rFonts w:ascii="Arial" w:hAnsi="Arial" w:cs="Arial"/>
          <w:color w:val="191919"/>
          <w:sz w:val="22"/>
          <w:szCs w:val="22"/>
        </w:rPr>
        <w:t xml:space="preserve"> and gain-of function</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lastRenderedPageBreak/>
        <w:t>events).</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By integrating large-scale data from various resources (including ENCODE and the 1000 Genomes</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Project) with</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cancer genomics data, our method is able to prioritize the known TERT promoter driver mutations and</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score</w:t>
      </w:r>
      <w:r w:rsidR="003503CA" w:rsidRPr="003503CA">
        <w:rPr>
          <w:rFonts w:ascii="Arial" w:hAnsi="Arial" w:cs="Arial"/>
          <w:color w:val="191919"/>
          <w:sz w:val="22"/>
          <w:szCs w:val="22"/>
        </w:rPr>
        <w:t xml:space="preserve"> </w:t>
      </w:r>
      <w:r w:rsidR="003503CA" w:rsidRPr="003503CA">
        <w:rPr>
          <w:rFonts w:ascii="Arial" w:hAnsi="Arial" w:cs="Arial"/>
          <w:color w:val="191919"/>
          <w:sz w:val="22"/>
          <w:szCs w:val="22"/>
        </w:rPr>
        <w:t>somatic recurrent mutations higher than those that are non-recurrent.</w:t>
      </w:r>
    </w:p>
    <w:p w14:paraId="64E0B723" w14:textId="37983ED6" w:rsidR="00EE7477" w:rsidRDefault="00EE7477" w:rsidP="00EE7477">
      <w:pPr>
        <w:autoSpaceDE w:val="0"/>
        <w:autoSpaceDN w:val="0"/>
        <w:adjustRightInd w:val="0"/>
        <w:jc w:val="both"/>
        <w:rPr>
          <w:rFonts w:ascii="Helvetica" w:hAnsi="Helvetica"/>
          <w:b/>
          <w:noProof/>
        </w:rPr>
      </w:pPr>
    </w:p>
    <w:p w14:paraId="2BC9A5FB" w14:textId="77777777" w:rsidR="006B6D33" w:rsidRPr="006B6D33" w:rsidRDefault="006B6D33" w:rsidP="006B6D33">
      <w:pPr>
        <w:autoSpaceDE w:val="0"/>
        <w:autoSpaceDN w:val="0"/>
        <w:adjustRightInd w:val="0"/>
        <w:rPr>
          <w:rFonts w:ascii="Arial" w:hAnsi="Arial" w:cs="Arial"/>
          <w:sz w:val="22"/>
          <w:szCs w:val="22"/>
          <w:u w:val="single"/>
        </w:rPr>
      </w:pPr>
      <w:r w:rsidRPr="006B6D33">
        <w:rPr>
          <w:rFonts w:ascii="Arial" w:hAnsi="Arial" w:cs="Arial"/>
          <w:sz w:val="22"/>
          <w:szCs w:val="22"/>
          <w:u w:val="single"/>
        </w:rPr>
        <w:t>Mapping prioritized mutations onto the viral and host proteins and determining their impact on</w:t>
      </w:r>
    </w:p>
    <w:p w14:paraId="485057E8" w14:textId="01837FCD" w:rsidR="00EE7477" w:rsidRPr="006B6D33" w:rsidRDefault="006B6D33" w:rsidP="006B6D33">
      <w:pPr>
        <w:autoSpaceDE w:val="0"/>
        <w:autoSpaceDN w:val="0"/>
        <w:adjustRightInd w:val="0"/>
        <w:jc w:val="both"/>
        <w:rPr>
          <w:rFonts w:ascii="Times New Roman" w:hAnsi="Times New Roman" w:cs="Times New Roman"/>
          <w:color w:val="000000"/>
          <w:sz w:val="22"/>
          <w:szCs w:val="22"/>
        </w:rPr>
      </w:pPr>
      <w:r w:rsidRPr="006B6D33">
        <w:rPr>
          <w:rFonts w:ascii="Arial" w:hAnsi="Arial" w:cs="Arial"/>
          <w:sz w:val="22"/>
          <w:szCs w:val="22"/>
          <w:u w:val="single"/>
        </w:rPr>
        <w:t>structural and dynamic properties, using physically based and deep-learning models</w:t>
      </w:r>
      <w:r>
        <w:rPr>
          <w:rFonts w:ascii="Arial" w:hAnsi="Arial" w:cs="Arial"/>
          <w:sz w:val="22"/>
          <w:szCs w:val="22"/>
        </w:rPr>
        <w:t xml:space="preserve">: </w:t>
      </w:r>
      <w:r w:rsidRPr="006B6D33">
        <w:rPr>
          <w:rFonts w:ascii="Arial" w:hAnsi="Arial" w:cs="Arial"/>
          <w:color w:val="000000"/>
          <w:sz w:val="22"/>
          <w:szCs w:val="22"/>
        </w:rPr>
        <w:t>Recently,</w:t>
      </w:r>
      <w:r w:rsidRPr="006B6D33">
        <w:rPr>
          <w:rFonts w:ascii="Arial" w:hAnsi="Arial" w:cs="Arial"/>
          <w:color w:val="000000"/>
          <w:sz w:val="22"/>
          <w:szCs w:val="22"/>
        </w:rPr>
        <w:t xml:space="preserve"> </w:t>
      </w:r>
      <w:r w:rsidRPr="006B6D33">
        <w:rPr>
          <w:rFonts w:ascii="Arial" w:hAnsi="Arial" w:cs="Arial"/>
          <w:color w:val="000000"/>
          <w:sz w:val="22"/>
          <w:szCs w:val="22"/>
        </w:rPr>
        <w:t xml:space="preserve">we have developed a computational method, </w:t>
      </w:r>
      <w:proofErr w:type="spellStart"/>
      <w:r w:rsidRPr="006B6D33">
        <w:rPr>
          <w:rFonts w:ascii="Arial" w:hAnsi="Arial" w:cs="Arial"/>
          <w:color w:val="000000"/>
          <w:sz w:val="22"/>
          <w:szCs w:val="22"/>
        </w:rPr>
        <w:t>ThermoNet</w:t>
      </w:r>
      <w:proofErr w:type="spellEnd"/>
      <w:r>
        <w:rPr>
          <w:rFonts w:ascii="Arial" w:hAnsi="Arial" w:cs="Arial"/>
          <w:color w:val="000000"/>
          <w:sz w:val="22"/>
          <w:szCs w:val="22"/>
        </w:rPr>
        <w:t xml:space="preserve"> </w:t>
      </w:r>
      <w:r>
        <w:rPr>
          <w:rFonts w:ascii="Arial" w:hAnsi="Arial" w:cs="Arial"/>
          <w:color w:val="000000"/>
          <w:sz w:val="22"/>
          <w:szCs w:val="22"/>
          <w:vertAlign w:val="superscript"/>
        </w:rPr>
        <w:t>43</w:t>
      </w:r>
      <w:r>
        <w:rPr>
          <w:rFonts w:ascii="Arial" w:hAnsi="Arial" w:cs="Arial"/>
          <w:color w:val="000000"/>
          <w:sz w:val="22"/>
          <w:szCs w:val="22"/>
        </w:rPr>
        <w:t>,</w:t>
      </w:r>
      <w:r w:rsidRPr="006B6D33">
        <w:rPr>
          <w:rFonts w:ascii="Arial" w:hAnsi="Arial" w:cs="Arial"/>
          <w:color w:val="000000"/>
          <w:sz w:val="22"/>
          <w:szCs w:val="22"/>
        </w:rPr>
        <w:t xml:space="preserve"> for predicting how variants can</w:t>
      </w:r>
      <w:r w:rsidRPr="006B6D33">
        <w:rPr>
          <w:rFonts w:ascii="Arial" w:hAnsi="Arial" w:cs="Arial"/>
          <w:color w:val="000000"/>
          <w:sz w:val="22"/>
          <w:szCs w:val="22"/>
        </w:rPr>
        <w:t xml:space="preserve"> </w:t>
      </w:r>
      <w:r w:rsidRPr="006B6D33">
        <w:rPr>
          <w:rFonts w:ascii="Arial" w:hAnsi="Arial" w:cs="Arial"/>
          <w:color w:val="000000"/>
          <w:sz w:val="22"/>
          <w:szCs w:val="22"/>
        </w:rPr>
        <w:t xml:space="preserve">impact the stability of a protein. </w:t>
      </w:r>
      <w:proofErr w:type="spellStart"/>
      <w:r w:rsidRPr="006B6D33">
        <w:rPr>
          <w:rFonts w:ascii="Arial" w:hAnsi="Arial" w:cs="Arial"/>
          <w:color w:val="000000"/>
          <w:sz w:val="22"/>
          <w:szCs w:val="22"/>
        </w:rPr>
        <w:t>ThermoNet</w:t>
      </w:r>
      <w:proofErr w:type="spellEnd"/>
      <w:r w:rsidRPr="006B6D33">
        <w:rPr>
          <w:rFonts w:ascii="Arial" w:hAnsi="Arial" w:cs="Arial"/>
          <w:color w:val="000000"/>
          <w:sz w:val="22"/>
          <w:szCs w:val="22"/>
        </w:rPr>
        <w:t xml:space="preserve"> is a deep 3D-convolutional neural network designed for</w:t>
      </w:r>
      <w:r w:rsidRPr="006B6D33">
        <w:rPr>
          <w:rFonts w:ascii="Arial" w:hAnsi="Arial" w:cs="Arial"/>
          <w:color w:val="000000"/>
          <w:sz w:val="22"/>
          <w:szCs w:val="22"/>
        </w:rPr>
        <w:t xml:space="preserve"> </w:t>
      </w:r>
      <w:r w:rsidRPr="006B6D33">
        <w:rPr>
          <w:rFonts w:ascii="Arial" w:hAnsi="Arial" w:cs="Arial"/>
          <w:color w:val="000000"/>
          <w:sz w:val="22"/>
          <w:szCs w:val="22"/>
        </w:rPr>
        <w:t>structure</w:t>
      </w:r>
      <w:r w:rsidRPr="006B6D33">
        <w:rPr>
          <w:rFonts w:ascii="Arial" w:hAnsi="Arial" w:cs="Arial"/>
          <w:color w:val="000000"/>
          <w:sz w:val="22"/>
          <w:szCs w:val="22"/>
        </w:rPr>
        <w:t>-</w:t>
      </w:r>
      <w:r w:rsidRPr="006B6D33">
        <w:rPr>
          <w:rFonts w:ascii="Arial" w:hAnsi="Arial" w:cs="Arial"/>
          <w:color w:val="000000"/>
          <w:sz w:val="22"/>
          <w:szCs w:val="22"/>
        </w:rPr>
        <w:t>based</w:t>
      </w:r>
      <w:r w:rsidRPr="006B6D33">
        <w:rPr>
          <w:rFonts w:ascii="Arial" w:hAnsi="Arial" w:cs="Arial"/>
          <w:color w:val="000000"/>
          <w:sz w:val="22"/>
          <w:szCs w:val="22"/>
        </w:rPr>
        <w:t xml:space="preserve"> </w:t>
      </w:r>
      <w:r w:rsidRPr="006B6D33">
        <w:rPr>
          <w:rFonts w:ascii="Arial" w:hAnsi="Arial" w:cs="Arial"/>
          <w:color w:val="000000"/>
          <w:sz w:val="22"/>
          <w:szCs w:val="22"/>
        </w:rPr>
        <w:t xml:space="preserve">prediction of the change in protein stability upon a point mutation. We propose to apply </w:t>
      </w:r>
      <w:proofErr w:type="spellStart"/>
      <w:r w:rsidRPr="006B6D33">
        <w:rPr>
          <w:rFonts w:ascii="Arial" w:hAnsi="Arial" w:cs="Arial"/>
          <w:color w:val="000000"/>
          <w:sz w:val="22"/>
          <w:szCs w:val="22"/>
        </w:rPr>
        <w:t>ThermoNet</w:t>
      </w:r>
      <w:proofErr w:type="spellEnd"/>
      <w:r w:rsidRPr="006B6D33">
        <w:rPr>
          <w:rFonts w:ascii="Arial" w:hAnsi="Arial" w:cs="Arial"/>
          <w:color w:val="000000"/>
          <w:sz w:val="22"/>
          <w:szCs w:val="22"/>
        </w:rPr>
        <w:t xml:space="preserve"> to the</w:t>
      </w:r>
      <w:r w:rsidRPr="006B6D33">
        <w:rPr>
          <w:rFonts w:ascii="Arial" w:hAnsi="Arial" w:cs="Arial"/>
          <w:color w:val="000000"/>
          <w:sz w:val="22"/>
          <w:szCs w:val="22"/>
        </w:rPr>
        <w:t xml:space="preserve"> </w:t>
      </w:r>
      <w:r w:rsidRPr="006B6D33">
        <w:rPr>
          <w:rFonts w:ascii="Arial" w:hAnsi="Arial" w:cs="Arial"/>
          <w:color w:val="000000"/>
          <w:sz w:val="22"/>
          <w:szCs w:val="22"/>
        </w:rPr>
        <w:t>population variants in the complex structures of the key receptor proteins and PPIs to explore to what</w:t>
      </w:r>
      <w:r w:rsidRPr="006B6D33">
        <w:rPr>
          <w:rFonts w:ascii="Arial" w:hAnsi="Arial" w:cs="Arial"/>
          <w:color w:val="000000"/>
          <w:sz w:val="22"/>
          <w:szCs w:val="22"/>
        </w:rPr>
        <w:t xml:space="preserve"> </w:t>
      </w:r>
      <w:r w:rsidRPr="006B6D33">
        <w:rPr>
          <w:rFonts w:ascii="Arial" w:hAnsi="Arial" w:cs="Arial"/>
          <w:color w:val="000000"/>
          <w:sz w:val="22"/>
          <w:szCs w:val="22"/>
        </w:rPr>
        <w:t>extent the</w:t>
      </w:r>
      <w:r w:rsidRPr="006B6D33">
        <w:rPr>
          <w:rFonts w:ascii="Arial" w:hAnsi="Arial" w:cs="Arial"/>
          <w:color w:val="000000"/>
          <w:sz w:val="22"/>
          <w:szCs w:val="22"/>
        </w:rPr>
        <w:t xml:space="preserve"> </w:t>
      </w:r>
      <w:r w:rsidRPr="006B6D33">
        <w:rPr>
          <w:rFonts w:ascii="Arial" w:hAnsi="Arial" w:cs="Arial"/>
          <w:color w:val="000000"/>
          <w:sz w:val="22"/>
          <w:szCs w:val="22"/>
        </w:rPr>
        <w:t xml:space="preserve">variants could protect or render individuals more susceptible to </w:t>
      </w:r>
      <w:r w:rsidRPr="006B6D33">
        <w:rPr>
          <w:rFonts w:ascii="Arial" w:hAnsi="Arial" w:cs="Arial"/>
          <w:color w:val="191919"/>
          <w:sz w:val="22"/>
          <w:szCs w:val="22"/>
        </w:rPr>
        <w:t>SARS-CoV-2.</w:t>
      </w:r>
    </w:p>
    <w:p w14:paraId="0FD8CCA4" w14:textId="1FAC6130" w:rsidR="00EE7477" w:rsidRDefault="00EE7477" w:rsidP="00EE7477">
      <w:pPr>
        <w:autoSpaceDE w:val="0"/>
        <w:autoSpaceDN w:val="0"/>
        <w:adjustRightInd w:val="0"/>
        <w:jc w:val="both"/>
        <w:rPr>
          <w:rFonts w:ascii="Helvetica" w:hAnsi="Helvetica"/>
          <w:b/>
          <w:noProof/>
        </w:rPr>
      </w:pPr>
    </w:p>
    <w:p w14:paraId="516DF1E2" w14:textId="7568A448" w:rsidR="00EE7477" w:rsidRDefault="00EE7477" w:rsidP="00EE7477">
      <w:pPr>
        <w:autoSpaceDE w:val="0"/>
        <w:autoSpaceDN w:val="0"/>
        <w:adjustRightInd w:val="0"/>
        <w:jc w:val="both"/>
        <w:rPr>
          <w:rFonts w:ascii="Helvetica" w:hAnsi="Helvetica"/>
          <w:b/>
          <w:noProof/>
        </w:rPr>
      </w:pPr>
    </w:p>
    <w:p w14:paraId="54EB93B4" w14:textId="1F45022A" w:rsidR="00EE7477" w:rsidRDefault="00EE7477" w:rsidP="00EE7477">
      <w:pPr>
        <w:autoSpaceDE w:val="0"/>
        <w:autoSpaceDN w:val="0"/>
        <w:adjustRightInd w:val="0"/>
        <w:jc w:val="both"/>
        <w:rPr>
          <w:rFonts w:ascii="Helvetica" w:hAnsi="Helvetica"/>
          <w:b/>
          <w:noProof/>
        </w:rPr>
      </w:pPr>
    </w:p>
    <w:p w14:paraId="27EC8BA5" w14:textId="38A83DF9" w:rsidR="00EE7477" w:rsidRPr="00EE7477" w:rsidRDefault="00EE7477" w:rsidP="00EE7477">
      <w:pPr>
        <w:autoSpaceDE w:val="0"/>
        <w:autoSpaceDN w:val="0"/>
        <w:adjustRightInd w:val="0"/>
        <w:jc w:val="both"/>
        <w:rPr>
          <w:rFonts w:ascii="Helvetica" w:hAnsi="Helvetica"/>
          <w:b/>
          <w:noProof/>
        </w:rPr>
      </w:pPr>
    </w:p>
    <w:p w14:paraId="19884357" w14:textId="52C3BF35" w:rsidR="00EE7477" w:rsidRPr="00EE7477" w:rsidRDefault="00A63C58" w:rsidP="00EE7477">
      <w:pPr>
        <w:rPr>
          <w:rFonts w:ascii="Arial" w:hAnsi="Arial" w:cs="Arial"/>
          <w:color w:val="000000"/>
          <w:sz w:val="22"/>
          <w:szCs w:val="22"/>
        </w:rPr>
      </w:pPr>
      <w:r w:rsidRPr="00587672">
        <w:rPr>
          <w:rFonts w:ascii="Arial" w:hAnsi="Arial" w:cs="Arial"/>
          <w:color w:val="000000"/>
          <w:sz w:val="22"/>
          <w:szCs w:val="22"/>
        </w:rPr>
        <w:br w:type="page"/>
      </w:r>
    </w:p>
    <w:p w14:paraId="7CAEF271" w14:textId="193F5C40" w:rsidR="00A63C58" w:rsidRDefault="00A63C58" w:rsidP="00AE70B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lastRenderedPageBreak/>
        <w:t>References</w:t>
      </w:r>
    </w:p>
    <w:p w14:paraId="07702F4F" w14:textId="5ED37F6B" w:rsidR="00A63C58" w:rsidRPr="00654B24" w:rsidRDefault="00A63C58" w:rsidP="00A63C58">
      <w:pPr>
        <w:pStyle w:val="ListParagraph"/>
        <w:numPr>
          <w:ilvl w:val="0"/>
          <w:numId w:val="1"/>
        </w:numPr>
        <w:autoSpaceDE w:val="0"/>
        <w:autoSpaceDN w:val="0"/>
        <w:adjustRightInd w:val="0"/>
        <w:jc w:val="both"/>
        <w:rPr>
          <w:rFonts w:ascii="Arial" w:hAnsi="Arial" w:cs="Arial"/>
          <w:color w:val="000000"/>
          <w:sz w:val="22"/>
          <w:szCs w:val="22"/>
        </w:rPr>
      </w:pPr>
      <w:r w:rsidRPr="00654B24">
        <w:rPr>
          <w:rFonts w:ascii="Arial" w:hAnsi="Arial" w:cs="Arial"/>
          <w:noProof/>
          <w:sz w:val="22"/>
          <w:szCs w:val="22"/>
        </w:rPr>
        <w:t xml:space="preserve">Fung, S. Y., Yuen, K. S., Ye, Z. W., Chan, C. P. &amp; Jin, D. Y. A tug-of-war between severe acute respiratory syndrome coronavirus 2 and host antiviral defence: lessons from other pathogenic viruses. </w:t>
      </w:r>
      <w:r w:rsidRPr="00654B24">
        <w:rPr>
          <w:rFonts w:ascii="Arial" w:hAnsi="Arial" w:cs="Arial"/>
          <w:i/>
          <w:noProof/>
          <w:sz w:val="22"/>
          <w:szCs w:val="22"/>
        </w:rPr>
        <w:t>Emerg Microbes Infect</w:t>
      </w:r>
      <w:r w:rsidRPr="00654B24">
        <w:rPr>
          <w:rFonts w:ascii="Arial" w:hAnsi="Arial" w:cs="Arial"/>
          <w:noProof/>
          <w:sz w:val="22"/>
          <w:szCs w:val="22"/>
        </w:rPr>
        <w:t xml:space="preserve"> </w:t>
      </w:r>
      <w:r w:rsidRPr="00654B24">
        <w:rPr>
          <w:rFonts w:ascii="Arial" w:hAnsi="Arial" w:cs="Arial"/>
          <w:b/>
          <w:noProof/>
          <w:sz w:val="22"/>
          <w:szCs w:val="22"/>
        </w:rPr>
        <w:t>9</w:t>
      </w:r>
      <w:r w:rsidRPr="00654B24">
        <w:rPr>
          <w:rFonts w:ascii="Arial" w:hAnsi="Arial" w:cs="Arial"/>
          <w:noProof/>
          <w:sz w:val="22"/>
          <w:szCs w:val="22"/>
        </w:rPr>
        <w:t>, 558-570, doi:10.1080/22221751.2020.1736644 (2020)</w:t>
      </w:r>
    </w:p>
    <w:p w14:paraId="72CC1631" w14:textId="5761F5AC" w:rsidR="00A63C58" w:rsidRPr="00654B24" w:rsidRDefault="00A63C58" w:rsidP="00A63C58">
      <w:pPr>
        <w:pStyle w:val="ListParagraph"/>
        <w:numPr>
          <w:ilvl w:val="0"/>
          <w:numId w:val="1"/>
        </w:numPr>
        <w:autoSpaceDE w:val="0"/>
        <w:autoSpaceDN w:val="0"/>
        <w:adjustRightInd w:val="0"/>
        <w:jc w:val="both"/>
        <w:rPr>
          <w:rFonts w:ascii="Arial" w:hAnsi="Arial" w:cs="Arial"/>
          <w:color w:val="000000"/>
          <w:sz w:val="22"/>
          <w:szCs w:val="22"/>
        </w:rPr>
      </w:pPr>
      <w:r w:rsidRPr="00654B24">
        <w:rPr>
          <w:rFonts w:ascii="Arial" w:hAnsi="Arial" w:cs="Arial"/>
          <w:noProof/>
          <w:sz w:val="22"/>
          <w:szCs w:val="22"/>
        </w:rPr>
        <w:t>Gordon, D. E.</w:t>
      </w:r>
      <w:r w:rsidRPr="00654B24">
        <w:rPr>
          <w:rFonts w:ascii="Arial" w:hAnsi="Arial" w:cs="Arial"/>
          <w:i/>
          <w:noProof/>
          <w:sz w:val="22"/>
          <w:szCs w:val="22"/>
        </w:rPr>
        <w:t xml:space="preserve"> et al.</w:t>
      </w:r>
      <w:r w:rsidRPr="00654B24">
        <w:rPr>
          <w:rFonts w:ascii="Arial" w:hAnsi="Arial" w:cs="Arial"/>
          <w:noProof/>
          <w:sz w:val="22"/>
          <w:szCs w:val="22"/>
        </w:rPr>
        <w:t xml:space="preserve"> A SARS-CoV-2 protein interaction map reveals targets for drug repurposing. </w:t>
      </w:r>
      <w:r w:rsidRPr="00654B24">
        <w:rPr>
          <w:rFonts w:ascii="Arial" w:hAnsi="Arial" w:cs="Arial"/>
          <w:i/>
          <w:noProof/>
          <w:sz w:val="22"/>
          <w:szCs w:val="22"/>
        </w:rPr>
        <w:t>Nature</w:t>
      </w:r>
      <w:r w:rsidRPr="00654B24">
        <w:rPr>
          <w:rFonts w:ascii="Arial" w:hAnsi="Arial" w:cs="Arial"/>
          <w:noProof/>
          <w:sz w:val="22"/>
          <w:szCs w:val="22"/>
        </w:rPr>
        <w:t xml:space="preserve"> </w:t>
      </w:r>
      <w:r w:rsidRPr="00654B24">
        <w:rPr>
          <w:rFonts w:ascii="Arial" w:hAnsi="Arial" w:cs="Arial"/>
          <w:b/>
          <w:noProof/>
          <w:sz w:val="22"/>
          <w:szCs w:val="22"/>
        </w:rPr>
        <w:t>583</w:t>
      </w:r>
      <w:r w:rsidRPr="00654B24">
        <w:rPr>
          <w:rFonts w:ascii="Arial" w:hAnsi="Arial" w:cs="Arial"/>
          <w:noProof/>
          <w:sz w:val="22"/>
          <w:szCs w:val="22"/>
        </w:rPr>
        <w:t>, 459-468, doi:10.1038/s41586-020-2286-9 (2020).</w:t>
      </w:r>
    </w:p>
    <w:p w14:paraId="0302A488" w14:textId="77777777" w:rsidR="00A63C58" w:rsidRPr="00654B24" w:rsidRDefault="00A63C58" w:rsidP="00A63C58">
      <w:pPr>
        <w:pStyle w:val="EndNoteBibliography"/>
        <w:numPr>
          <w:ilvl w:val="0"/>
          <w:numId w:val="1"/>
        </w:numPr>
        <w:rPr>
          <w:noProof/>
        </w:rPr>
      </w:pPr>
      <w:r w:rsidRPr="00654B24">
        <w:rPr>
          <w:noProof/>
        </w:rPr>
        <w:t xml:space="preserve">Gerstein, M., Lesk, A. M. &amp; Chothia, C. Structural mechanisms for domain movements in proteins. </w:t>
      </w:r>
      <w:r w:rsidRPr="00654B24">
        <w:rPr>
          <w:i/>
          <w:noProof/>
        </w:rPr>
        <w:t>Biochemistry</w:t>
      </w:r>
      <w:r w:rsidRPr="00654B24">
        <w:rPr>
          <w:noProof/>
        </w:rPr>
        <w:t xml:space="preserve"> </w:t>
      </w:r>
      <w:r w:rsidRPr="00654B24">
        <w:rPr>
          <w:b/>
          <w:noProof/>
        </w:rPr>
        <w:t>33</w:t>
      </w:r>
      <w:r w:rsidRPr="00654B24">
        <w:rPr>
          <w:noProof/>
        </w:rPr>
        <w:t>, 6739-6749, doi:10.1021/bi00188a001 (1994).</w:t>
      </w:r>
    </w:p>
    <w:p w14:paraId="176EA9DC" w14:textId="77135092" w:rsidR="00A63C58" w:rsidRPr="00654B24" w:rsidRDefault="00A63C58" w:rsidP="00A63C58">
      <w:pPr>
        <w:pStyle w:val="EndNoteBibliography"/>
        <w:numPr>
          <w:ilvl w:val="0"/>
          <w:numId w:val="1"/>
        </w:numPr>
        <w:rPr>
          <w:noProof/>
        </w:rPr>
      </w:pPr>
      <w:r w:rsidRPr="00654B24">
        <w:rPr>
          <w:noProof/>
        </w:rPr>
        <w:t xml:space="preserve">Gerstein, M. &amp; Krebs, W. A database of macromolecular motions. </w:t>
      </w:r>
      <w:r w:rsidRPr="00654B24">
        <w:rPr>
          <w:i/>
          <w:noProof/>
        </w:rPr>
        <w:t>Nucleic Acids Res</w:t>
      </w:r>
      <w:r w:rsidRPr="00654B24">
        <w:rPr>
          <w:noProof/>
        </w:rPr>
        <w:t xml:space="preserve"> </w:t>
      </w:r>
      <w:r w:rsidRPr="00654B24">
        <w:rPr>
          <w:b/>
          <w:noProof/>
        </w:rPr>
        <w:t>26</w:t>
      </w:r>
      <w:r w:rsidRPr="00654B24">
        <w:rPr>
          <w:noProof/>
        </w:rPr>
        <w:t>, 4280-4290, doi:10.1093/nar/26.18.4280 (1998).</w:t>
      </w:r>
    </w:p>
    <w:p w14:paraId="0B771619" w14:textId="22F04853" w:rsidR="00A63C58" w:rsidRPr="00654B24" w:rsidRDefault="00A63C58" w:rsidP="00A63C58">
      <w:pPr>
        <w:pStyle w:val="EndNoteBibliography"/>
        <w:numPr>
          <w:ilvl w:val="0"/>
          <w:numId w:val="1"/>
        </w:numPr>
        <w:rPr>
          <w:noProof/>
        </w:rPr>
      </w:pPr>
      <w:r w:rsidRPr="00654B24">
        <w:rPr>
          <w:noProof/>
        </w:rPr>
        <w:t xml:space="preserve">Gerstein, M. &amp; Chothia, C. Perspectives: signal transduction. Proteins in motion. </w:t>
      </w:r>
      <w:r w:rsidRPr="00654B24">
        <w:rPr>
          <w:i/>
          <w:noProof/>
        </w:rPr>
        <w:t>Science</w:t>
      </w:r>
      <w:r w:rsidRPr="00654B24">
        <w:rPr>
          <w:noProof/>
        </w:rPr>
        <w:t xml:space="preserve"> </w:t>
      </w:r>
      <w:r w:rsidRPr="00654B24">
        <w:rPr>
          <w:b/>
          <w:noProof/>
        </w:rPr>
        <w:t>285</w:t>
      </w:r>
      <w:r w:rsidRPr="00654B24">
        <w:rPr>
          <w:noProof/>
        </w:rPr>
        <w:t>, 1682-1683, doi:10.1126/science.285.5434.1682 (1999).</w:t>
      </w:r>
    </w:p>
    <w:p w14:paraId="729777E6" w14:textId="67CF9E14" w:rsidR="00A63C58" w:rsidRPr="00654B24" w:rsidRDefault="00A63C58" w:rsidP="00A63C58">
      <w:pPr>
        <w:pStyle w:val="EndNoteBibliography"/>
        <w:numPr>
          <w:ilvl w:val="0"/>
          <w:numId w:val="1"/>
        </w:numPr>
        <w:rPr>
          <w:noProof/>
        </w:rPr>
      </w:pPr>
      <w:r w:rsidRPr="00654B24">
        <w:rPr>
          <w:noProof/>
        </w:rPr>
        <w:t xml:space="preserve">Krebs, W. G. &amp; Gerstein, M. The morph server: a standardized system for analyzing and visualizing macromolecular motions in a database framework. </w:t>
      </w:r>
      <w:r w:rsidRPr="00654B24">
        <w:rPr>
          <w:i/>
          <w:noProof/>
        </w:rPr>
        <w:t>Nucleic Acids Res</w:t>
      </w:r>
      <w:r w:rsidRPr="00654B24">
        <w:rPr>
          <w:noProof/>
        </w:rPr>
        <w:t xml:space="preserve"> </w:t>
      </w:r>
      <w:r w:rsidRPr="00654B24">
        <w:rPr>
          <w:b/>
          <w:noProof/>
        </w:rPr>
        <w:t>28</w:t>
      </w:r>
      <w:r w:rsidRPr="00654B24">
        <w:rPr>
          <w:noProof/>
        </w:rPr>
        <w:t>, 1665-1675, doi:10.1093/nar/28.8.1665 (2000).</w:t>
      </w:r>
    </w:p>
    <w:p w14:paraId="37DFA2F3" w14:textId="386DCFF4" w:rsidR="00A63C58" w:rsidRPr="00654B24" w:rsidRDefault="00A63C58" w:rsidP="00A63C58">
      <w:pPr>
        <w:pStyle w:val="EndNoteBibliography"/>
        <w:numPr>
          <w:ilvl w:val="0"/>
          <w:numId w:val="1"/>
        </w:numPr>
        <w:rPr>
          <w:noProof/>
        </w:rPr>
      </w:pPr>
      <w:r w:rsidRPr="00654B24">
        <w:rPr>
          <w:noProof/>
        </w:rPr>
        <w:t>Krebs, W. G.</w:t>
      </w:r>
      <w:r w:rsidRPr="00654B24">
        <w:rPr>
          <w:i/>
          <w:noProof/>
        </w:rPr>
        <w:t xml:space="preserve"> et al.</w:t>
      </w:r>
      <w:r w:rsidRPr="00654B24">
        <w:rPr>
          <w:noProof/>
        </w:rPr>
        <w:t xml:space="preserve"> Normal mode analysis of macromolecular motions in a database framework: developing mode concentration as a useful classifying statistic. </w:t>
      </w:r>
      <w:r w:rsidRPr="00654B24">
        <w:rPr>
          <w:i/>
          <w:noProof/>
        </w:rPr>
        <w:t>Proteins</w:t>
      </w:r>
      <w:r w:rsidRPr="00654B24">
        <w:rPr>
          <w:noProof/>
        </w:rPr>
        <w:t xml:space="preserve"> </w:t>
      </w:r>
      <w:r w:rsidRPr="00654B24">
        <w:rPr>
          <w:b/>
          <w:noProof/>
        </w:rPr>
        <w:t>48</w:t>
      </w:r>
      <w:r w:rsidRPr="00654B24">
        <w:rPr>
          <w:noProof/>
        </w:rPr>
        <w:t>, 682-695, doi:10.1002/prot.10168 (2002).</w:t>
      </w:r>
    </w:p>
    <w:p w14:paraId="197B0970" w14:textId="1AEAAFFA" w:rsidR="00A63C58" w:rsidRPr="00654B24" w:rsidRDefault="00A63C58" w:rsidP="00A63C58">
      <w:pPr>
        <w:pStyle w:val="EndNoteBibliography"/>
        <w:numPr>
          <w:ilvl w:val="0"/>
          <w:numId w:val="1"/>
        </w:numPr>
        <w:rPr>
          <w:noProof/>
        </w:rPr>
      </w:pPr>
      <w:r w:rsidRPr="00654B24">
        <w:rPr>
          <w:noProof/>
        </w:rPr>
        <w:t xml:space="preserve">Echols, N., Milburn, D. &amp; Gerstein, M. MolMovDB: analysis and visualization of conformational change and structural flexibility. </w:t>
      </w:r>
      <w:r w:rsidRPr="00654B24">
        <w:rPr>
          <w:i/>
          <w:noProof/>
        </w:rPr>
        <w:t>Nucleic Acids Res</w:t>
      </w:r>
      <w:r w:rsidRPr="00654B24">
        <w:rPr>
          <w:noProof/>
        </w:rPr>
        <w:t xml:space="preserve"> </w:t>
      </w:r>
      <w:r w:rsidRPr="00654B24">
        <w:rPr>
          <w:b/>
          <w:noProof/>
        </w:rPr>
        <w:t>31</w:t>
      </w:r>
      <w:r w:rsidRPr="00654B24">
        <w:rPr>
          <w:noProof/>
        </w:rPr>
        <w:t>, 478-482, doi:10.1093/nar/gkg104 (2003).</w:t>
      </w:r>
    </w:p>
    <w:p w14:paraId="2025DA44" w14:textId="47B236BC" w:rsidR="00A63C58" w:rsidRPr="00654B24" w:rsidRDefault="00A63C58" w:rsidP="00A63C58">
      <w:pPr>
        <w:pStyle w:val="EndNoteBibliography"/>
        <w:numPr>
          <w:ilvl w:val="0"/>
          <w:numId w:val="1"/>
        </w:numPr>
        <w:rPr>
          <w:noProof/>
        </w:rPr>
      </w:pPr>
      <w:r w:rsidRPr="00654B24">
        <w:rPr>
          <w:noProof/>
        </w:rPr>
        <w:t>Krebs, W. G.</w:t>
      </w:r>
      <w:r w:rsidRPr="00654B24">
        <w:rPr>
          <w:i/>
          <w:noProof/>
        </w:rPr>
        <w:t xml:space="preserve"> et al.</w:t>
      </w:r>
      <w:r w:rsidRPr="00654B24">
        <w:rPr>
          <w:noProof/>
        </w:rPr>
        <w:t xml:space="preserve"> Tools and databases to analyze protein flexibility; approaches to mapping implied features onto sequences. </w:t>
      </w:r>
      <w:r w:rsidRPr="00654B24">
        <w:rPr>
          <w:i/>
          <w:noProof/>
        </w:rPr>
        <w:t>Methods Enzymol</w:t>
      </w:r>
      <w:r w:rsidRPr="00654B24">
        <w:rPr>
          <w:noProof/>
        </w:rPr>
        <w:t xml:space="preserve"> </w:t>
      </w:r>
      <w:r w:rsidRPr="00654B24">
        <w:rPr>
          <w:b/>
          <w:noProof/>
        </w:rPr>
        <w:t>374</w:t>
      </w:r>
      <w:r w:rsidRPr="00654B24">
        <w:rPr>
          <w:noProof/>
        </w:rPr>
        <w:t>, 544-584, doi:10.1016/S0076-6879(03)74023-3 (2003).</w:t>
      </w:r>
    </w:p>
    <w:p w14:paraId="67332E9A" w14:textId="0C76E169" w:rsidR="00A63C58" w:rsidRPr="00654B24" w:rsidRDefault="00A63C58" w:rsidP="00A63C58">
      <w:pPr>
        <w:pStyle w:val="EndNoteBibliography"/>
        <w:numPr>
          <w:ilvl w:val="0"/>
          <w:numId w:val="1"/>
        </w:numPr>
        <w:rPr>
          <w:noProof/>
        </w:rPr>
      </w:pPr>
      <w:r w:rsidRPr="00654B24">
        <w:rPr>
          <w:noProof/>
        </w:rPr>
        <w:t xml:space="preserve">Alexandrov, V. &amp; Gerstein, M. Using 3D Hidden Markov Models that explicitly represent spatial coordinates to model and compare protein structures. </w:t>
      </w:r>
      <w:r w:rsidRPr="00654B24">
        <w:rPr>
          <w:i/>
          <w:noProof/>
        </w:rPr>
        <w:t>BMC Bioinformatics</w:t>
      </w:r>
      <w:r w:rsidRPr="00654B24">
        <w:rPr>
          <w:noProof/>
        </w:rPr>
        <w:t xml:space="preserve"> </w:t>
      </w:r>
      <w:r w:rsidRPr="00654B24">
        <w:rPr>
          <w:b/>
          <w:noProof/>
        </w:rPr>
        <w:t>5</w:t>
      </w:r>
      <w:r w:rsidRPr="00654B24">
        <w:rPr>
          <w:noProof/>
        </w:rPr>
        <w:t>, 2, doi:10.1186/1471-2105-5-2 (2004).</w:t>
      </w:r>
    </w:p>
    <w:p w14:paraId="318FCA39" w14:textId="673D9438" w:rsidR="00A63C58" w:rsidRPr="00654B24" w:rsidRDefault="00A63C58" w:rsidP="00A63C58">
      <w:pPr>
        <w:pStyle w:val="EndNoteBibliography"/>
        <w:numPr>
          <w:ilvl w:val="0"/>
          <w:numId w:val="1"/>
        </w:numPr>
        <w:rPr>
          <w:noProof/>
        </w:rPr>
      </w:pPr>
      <w:r w:rsidRPr="00654B24">
        <w:rPr>
          <w:noProof/>
        </w:rPr>
        <w:t xml:space="preserve">Gerstein, M. &amp; Echols, N. Exploring the range of protein flexibility, from a structural proteomics perspective. </w:t>
      </w:r>
      <w:r w:rsidRPr="00654B24">
        <w:rPr>
          <w:i/>
          <w:noProof/>
        </w:rPr>
        <w:t>Curr Opin Chem Biol</w:t>
      </w:r>
      <w:r w:rsidRPr="00654B24">
        <w:rPr>
          <w:noProof/>
        </w:rPr>
        <w:t xml:space="preserve"> </w:t>
      </w:r>
      <w:r w:rsidRPr="00654B24">
        <w:rPr>
          <w:b/>
          <w:noProof/>
        </w:rPr>
        <w:t>8</w:t>
      </w:r>
      <w:r w:rsidRPr="00654B24">
        <w:rPr>
          <w:noProof/>
        </w:rPr>
        <w:t>, 14-19, doi:10.1016/j.cbpa.2003.12.006 (2004).</w:t>
      </w:r>
    </w:p>
    <w:p w14:paraId="744DC558" w14:textId="60ACFB9D" w:rsidR="00A63C58" w:rsidRPr="00654B24" w:rsidRDefault="00A63C58" w:rsidP="00A63C58">
      <w:pPr>
        <w:pStyle w:val="EndNoteBibliography"/>
        <w:numPr>
          <w:ilvl w:val="0"/>
          <w:numId w:val="1"/>
        </w:numPr>
        <w:rPr>
          <w:noProof/>
        </w:rPr>
      </w:pPr>
      <w:r w:rsidRPr="00654B24">
        <w:rPr>
          <w:noProof/>
        </w:rPr>
        <w:t xml:space="preserve">Goh, C. S., Milburn, D. &amp; Gerstein, M. Conformational changes associated with protein-protein interactions. </w:t>
      </w:r>
      <w:r w:rsidRPr="00654B24">
        <w:rPr>
          <w:i/>
          <w:noProof/>
        </w:rPr>
        <w:t>Curr Opin Struct Biol</w:t>
      </w:r>
      <w:r w:rsidRPr="00654B24">
        <w:rPr>
          <w:noProof/>
        </w:rPr>
        <w:t xml:space="preserve"> </w:t>
      </w:r>
      <w:r w:rsidRPr="00654B24">
        <w:rPr>
          <w:b/>
          <w:noProof/>
        </w:rPr>
        <w:t>14</w:t>
      </w:r>
      <w:r w:rsidRPr="00654B24">
        <w:rPr>
          <w:noProof/>
        </w:rPr>
        <w:t>, 104-109, doi:10.1016/j.sbi.2004.01.005 (2004).</w:t>
      </w:r>
    </w:p>
    <w:p w14:paraId="6698BC99" w14:textId="1B6946B6" w:rsidR="00A63C58" w:rsidRPr="00654B24" w:rsidRDefault="00A63C58" w:rsidP="00A63C58">
      <w:pPr>
        <w:pStyle w:val="EndNoteBibliography"/>
        <w:numPr>
          <w:ilvl w:val="0"/>
          <w:numId w:val="1"/>
        </w:numPr>
        <w:rPr>
          <w:noProof/>
        </w:rPr>
      </w:pPr>
      <w:r w:rsidRPr="00654B24">
        <w:rPr>
          <w:noProof/>
        </w:rPr>
        <w:t>Alexandrov, V.</w:t>
      </w:r>
      <w:r w:rsidRPr="00654B24">
        <w:rPr>
          <w:i/>
          <w:noProof/>
        </w:rPr>
        <w:t xml:space="preserve"> et al.</w:t>
      </w:r>
      <w:r w:rsidRPr="00654B24">
        <w:rPr>
          <w:noProof/>
        </w:rPr>
        <w:t xml:space="preserve"> Normal modes for predicting protein motions: a comprehensive database assessment and associated Web tool. </w:t>
      </w:r>
      <w:r w:rsidRPr="00654B24">
        <w:rPr>
          <w:i/>
          <w:noProof/>
        </w:rPr>
        <w:t>Protein Sci</w:t>
      </w:r>
      <w:r w:rsidRPr="00654B24">
        <w:rPr>
          <w:noProof/>
        </w:rPr>
        <w:t xml:space="preserve"> </w:t>
      </w:r>
      <w:r w:rsidRPr="00654B24">
        <w:rPr>
          <w:b/>
          <w:noProof/>
        </w:rPr>
        <w:t>14</w:t>
      </w:r>
      <w:r w:rsidRPr="00654B24">
        <w:rPr>
          <w:noProof/>
        </w:rPr>
        <w:t>, 633-643, doi:10.1110/ps.04882105 (2005).</w:t>
      </w:r>
    </w:p>
    <w:p w14:paraId="0C882EB3" w14:textId="0EE5A7F6" w:rsidR="00A63C58" w:rsidRPr="00654B24" w:rsidRDefault="00A63C58" w:rsidP="00A63C58">
      <w:pPr>
        <w:pStyle w:val="EndNoteBibliography"/>
        <w:numPr>
          <w:ilvl w:val="0"/>
          <w:numId w:val="1"/>
        </w:numPr>
        <w:rPr>
          <w:noProof/>
        </w:rPr>
      </w:pPr>
      <w:r w:rsidRPr="00654B24">
        <w:rPr>
          <w:noProof/>
        </w:rPr>
        <w:t>Flores, S.</w:t>
      </w:r>
      <w:r w:rsidRPr="00654B24">
        <w:rPr>
          <w:i/>
          <w:noProof/>
        </w:rPr>
        <w:t xml:space="preserve"> et al.</w:t>
      </w:r>
      <w:r w:rsidRPr="00654B24">
        <w:rPr>
          <w:noProof/>
        </w:rPr>
        <w:t xml:space="preserve"> The Database of Macromolecular Motions: new features added at the decade mark. </w:t>
      </w:r>
      <w:r w:rsidRPr="00654B24">
        <w:rPr>
          <w:i/>
          <w:noProof/>
        </w:rPr>
        <w:t>Nucleic Acids Res</w:t>
      </w:r>
      <w:r w:rsidRPr="00654B24">
        <w:rPr>
          <w:noProof/>
        </w:rPr>
        <w:t xml:space="preserve"> </w:t>
      </w:r>
      <w:r w:rsidRPr="00654B24">
        <w:rPr>
          <w:b/>
          <w:noProof/>
        </w:rPr>
        <w:t>34</w:t>
      </w:r>
      <w:r w:rsidRPr="00654B24">
        <w:rPr>
          <w:noProof/>
        </w:rPr>
        <w:t>, D296-301, doi:10.1093/nar/gkj046 (2006).</w:t>
      </w:r>
    </w:p>
    <w:p w14:paraId="5F7438D4" w14:textId="4E6835D2" w:rsidR="00A63C58" w:rsidRPr="00654B24" w:rsidRDefault="00A63C58" w:rsidP="00A63C58">
      <w:pPr>
        <w:pStyle w:val="EndNoteBibliography"/>
        <w:numPr>
          <w:ilvl w:val="0"/>
          <w:numId w:val="1"/>
        </w:numPr>
        <w:rPr>
          <w:noProof/>
        </w:rPr>
      </w:pPr>
      <w:r w:rsidRPr="00654B24">
        <w:rPr>
          <w:noProof/>
        </w:rPr>
        <w:t xml:space="preserve">Flores, S. C., Lu, L. J., Yang, J., Carriero, N. &amp; Gerstein, M. B. Hinge Atlas: relating protein sequence to sites of structural flexibility. </w:t>
      </w:r>
      <w:r w:rsidRPr="00654B24">
        <w:rPr>
          <w:i/>
          <w:noProof/>
        </w:rPr>
        <w:t>BMC Bioinformatics</w:t>
      </w:r>
      <w:r w:rsidRPr="00654B24">
        <w:rPr>
          <w:noProof/>
        </w:rPr>
        <w:t xml:space="preserve"> </w:t>
      </w:r>
      <w:r w:rsidRPr="00654B24">
        <w:rPr>
          <w:b/>
          <w:noProof/>
        </w:rPr>
        <w:t>8</w:t>
      </w:r>
      <w:r w:rsidRPr="00654B24">
        <w:rPr>
          <w:noProof/>
        </w:rPr>
        <w:t>, 167, doi:10.1186/1471-2105-8-167 (2007).</w:t>
      </w:r>
    </w:p>
    <w:p w14:paraId="08B518E0" w14:textId="2480375F" w:rsidR="00A63C58" w:rsidRPr="00654B24" w:rsidRDefault="00A63C58" w:rsidP="00A63C58">
      <w:pPr>
        <w:pStyle w:val="EndNoteBibliography"/>
        <w:numPr>
          <w:ilvl w:val="0"/>
          <w:numId w:val="1"/>
        </w:numPr>
        <w:rPr>
          <w:noProof/>
        </w:rPr>
      </w:pPr>
      <w:r w:rsidRPr="00654B24">
        <w:rPr>
          <w:noProof/>
        </w:rPr>
        <w:t xml:space="preserve">Flores, S. C. &amp; Gerstein, M. B. FlexOracle: predicting flexible hinges by identification of stable domains. </w:t>
      </w:r>
      <w:r w:rsidRPr="00654B24">
        <w:rPr>
          <w:i/>
          <w:noProof/>
        </w:rPr>
        <w:t>BMC Bioinformatics</w:t>
      </w:r>
      <w:r w:rsidRPr="00654B24">
        <w:rPr>
          <w:noProof/>
        </w:rPr>
        <w:t xml:space="preserve"> </w:t>
      </w:r>
      <w:r w:rsidRPr="00654B24">
        <w:rPr>
          <w:b/>
          <w:noProof/>
        </w:rPr>
        <w:t>8</w:t>
      </w:r>
      <w:r w:rsidRPr="00654B24">
        <w:rPr>
          <w:noProof/>
        </w:rPr>
        <w:t>, 215, doi:10.1186/1471-2105-8-215 (2007).</w:t>
      </w:r>
    </w:p>
    <w:p w14:paraId="26880685" w14:textId="527D1AF6" w:rsidR="00A63C58" w:rsidRPr="00654B24" w:rsidRDefault="00A63C58" w:rsidP="00A63C58">
      <w:pPr>
        <w:pStyle w:val="EndNoteBibliography"/>
        <w:numPr>
          <w:ilvl w:val="0"/>
          <w:numId w:val="1"/>
        </w:numPr>
        <w:rPr>
          <w:noProof/>
        </w:rPr>
      </w:pPr>
      <w:r w:rsidRPr="00654B24">
        <w:rPr>
          <w:noProof/>
        </w:rPr>
        <w:t>Flores, S. C.</w:t>
      </w:r>
      <w:r w:rsidRPr="00654B24">
        <w:rPr>
          <w:i/>
          <w:noProof/>
        </w:rPr>
        <w:t xml:space="preserve"> et al.</w:t>
      </w:r>
      <w:r w:rsidRPr="00654B24">
        <w:rPr>
          <w:noProof/>
        </w:rPr>
        <w:t xml:space="preserve"> HingeMaster: normal mode hinge prediction approach and integration of complementary predictors. </w:t>
      </w:r>
      <w:r w:rsidRPr="00654B24">
        <w:rPr>
          <w:i/>
          <w:noProof/>
        </w:rPr>
        <w:t>Proteins</w:t>
      </w:r>
      <w:r w:rsidRPr="00654B24">
        <w:rPr>
          <w:noProof/>
        </w:rPr>
        <w:t xml:space="preserve"> </w:t>
      </w:r>
      <w:r w:rsidRPr="00654B24">
        <w:rPr>
          <w:b/>
          <w:noProof/>
        </w:rPr>
        <w:t>73</w:t>
      </w:r>
      <w:r w:rsidRPr="00654B24">
        <w:rPr>
          <w:noProof/>
        </w:rPr>
        <w:t>, 299-319, doi:10.1002/prot.22060 (2008).</w:t>
      </w:r>
    </w:p>
    <w:p w14:paraId="4B6ED82F" w14:textId="2EB78BDB" w:rsidR="00A63C58" w:rsidRPr="00654B24" w:rsidRDefault="00A63C58" w:rsidP="00A63C58">
      <w:pPr>
        <w:pStyle w:val="EndNoteBibliography"/>
        <w:numPr>
          <w:ilvl w:val="0"/>
          <w:numId w:val="1"/>
        </w:numPr>
        <w:rPr>
          <w:noProof/>
        </w:rPr>
      </w:pPr>
      <w:r w:rsidRPr="00654B24">
        <w:rPr>
          <w:noProof/>
        </w:rPr>
        <w:t xml:space="preserve">Keating, K. S., Flores, S. C., Gerstein, M. B. &amp; Kuhn, L. A. StoneHinge: hinge prediction by network analysis of individual protein structures. </w:t>
      </w:r>
      <w:r w:rsidRPr="00654B24">
        <w:rPr>
          <w:i/>
          <w:noProof/>
        </w:rPr>
        <w:t>Protein Sci</w:t>
      </w:r>
      <w:r w:rsidRPr="00654B24">
        <w:rPr>
          <w:noProof/>
        </w:rPr>
        <w:t xml:space="preserve"> </w:t>
      </w:r>
      <w:r w:rsidRPr="00654B24">
        <w:rPr>
          <w:b/>
          <w:noProof/>
        </w:rPr>
        <w:t>18</w:t>
      </w:r>
      <w:r w:rsidRPr="00654B24">
        <w:rPr>
          <w:noProof/>
        </w:rPr>
        <w:t>, 359-371, doi:10.1002/pro.38 (2009).</w:t>
      </w:r>
    </w:p>
    <w:p w14:paraId="766861EE" w14:textId="797F9657" w:rsidR="00A63C58" w:rsidRPr="00654B24" w:rsidRDefault="00A63C58" w:rsidP="00A63C58">
      <w:pPr>
        <w:pStyle w:val="EndNoteBibliography"/>
        <w:numPr>
          <w:ilvl w:val="0"/>
          <w:numId w:val="1"/>
        </w:numPr>
        <w:rPr>
          <w:noProof/>
        </w:rPr>
      </w:pPr>
      <w:r w:rsidRPr="00654B24">
        <w:rPr>
          <w:noProof/>
        </w:rPr>
        <w:t xml:space="preserve">Bhardwaj, N. &amp; Gerstein, M. Relating protein conformational changes to packing efficiency and disorder. </w:t>
      </w:r>
      <w:r w:rsidRPr="00654B24">
        <w:rPr>
          <w:i/>
          <w:noProof/>
        </w:rPr>
        <w:t>Protein Sci</w:t>
      </w:r>
      <w:r w:rsidRPr="00654B24">
        <w:rPr>
          <w:noProof/>
        </w:rPr>
        <w:t xml:space="preserve"> </w:t>
      </w:r>
      <w:r w:rsidRPr="00654B24">
        <w:rPr>
          <w:b/>
          <w:noProof/>
        </w:rPr>
        <w:t>18</w:t>
      </w:r>
      <w:r w:rsidRPr="00654B24">
        <w:rPr>
          <w:noProof/>
        </w:rPr>
        <w:t>, 1230-1240, doi:10.1002/pro.132 (2009).</w:t>
      </w:r>
    </w:p>
    <w:p w14:paraId="1D81E604" w14:textId="549F2C9E" w:rsidR="00A63C58" w:rsidRPr="00654B24" w:rsidRDefault="00A63C58" w:rsidP="00A63C58">
      <w:pPr>
        <w:pStyle w:val="EndNoteBibliography"/>
        <w:numPr>
          <w:ilvl w:val="0"/>
          <w:numId w:val="1"/>
        </w:numPr>
        <w:rPr>
          <w:noProof/>
        </w:rPr>
      </w:pPr>
      <w:r w:rsidRPr="00654B24">
        <w:rPr>
          <w:noProof/>
        </w:rPr>
        <w:lastRenderedPageBreak/>
        <w:t xml:space="preserve">Abyzov, A., Bjornson, R., Felipe, M. &amp; Gerstein, M. RigidFinder: a fast and sensitive method to detect rigid blocks in large macromolecular complexes. </w:t>
      </w:r>
      <w:r w:rsidRPr="00654B24">
        <w:rPr>
          <w:i/>
          <w:noProof/>
        </w:rPr>
        <w:t>Proteins</w:t>
      </w:r>
      <w:r w:rsidRPr="00654B24">
        <w:rPr>
          <w:noProof/>
        </w:rPr>
        <w:t xml:space="preserve"> </w:t>
      </w:r>
      <w:r w:rsidRPr="00654B24">
        <w:rPr>
          <w:b/>
          <w:noProof/>
        </w:rPr>
        <w:t>78</w:t>
      </w:r>
      <w:r w:rsidRPr="00654B24">
        <w:rPr>
          <w:noProof/>
        </w:rPr>
        <w:t>, 309-324, doi:10.1002/prot.22544 (2010).</w:t>
      </w:r>
    </w:p>
    <w:p w14:paraId="1B61F95A" w14:textId="30089740" w:rsidR="00A63C58" w:rsidRPr="00654B24" w:rsidRDefault="00A63C58" w:rsidP="00A63C58">
      <w:pPr>
        <w:pStyle w:val="EndNoteBibliography"/>
        <w:numPr>
          <w:ilvl w:val="0"/>
          <w:numId w:val="1"/>
        </w:numPr>
        <w:rPr>
          <w:noProof/>
        </w:rPr>
      </w:pPr>
      <w:r w:rsidRPr="00654B24">
        <w:rPr>
          <w:noProof/>
        </w:rPr>
        <w:t xml:space="preserve">Fytianos, K., Konstantinou, J., Kaidatzis, J. &amp; Albanis, T. Multiresidue determination of insecticides and fungicides in fruits and vegetables by gas chromatography. </w:t>
      </w:r>
      <w:r w:rsidRPr="00654B24">
        <w:rPr>
          <w:i/>
          <w:noProof/>
        </w:rPr>
        <w:t>Bull Environ Contam Toxicol</w:t>
      </w:r>
      <w:r w:rsidRPr="00654B24">
        <w:rPr>
          <w:noProof/>
        </w:rPr>
        <w:t xml:space="preserve"> </w:t>
      </w:r>
      <w:r w:rsidRPr="00654B24">
        <w:rPr>
          <w:b/>
          <w:noProof/>
        </w:rPr>
        <w:t>61</w:t>
      </w:r>
      <w:r w:rsidRPr="00654B24">
        <w:rPr>
          <w:noProof/>
        </w:rPr>
        <w:t>, 684-689, doi:10.1007/s001289900815 (1998).</w:t>
      </w:r>
    </w:p>
    <w:p w14:paraId="18A7B9A1" w14:textId="5A14DD0E" w:rsidR="00A63C58" w:rsidRPr="00654B24" w:rsidRDefault="00A63C58" w:rsidP="00A63C58">
      <w:pPr>
        <w:pStyle w:val="EndNoteBibliography"/>
        <w:numPr>
          <w:ilvl w:val="0"/>
          <w:numId w:val="1"/>
        </w:numPr>
        <w:rPr>
          <w:noProof/>
        </w:rPr>
      </w:pPr>
      <w:r w:rsidRPr="00654B24">
        <w:rPr>
          <w:noProof/>
        </w:rPr>
        <w:t xml:space="preserve">Voss, N. R. &amp; Gerstein, M. 3V: cavity, channel and cleft volume calculator and extractor. </w:t>
      </w:r>
      <w:r w:rsidRPr="00654B24">
        <w:rPr>
          <w:i/>
          <w:noProof/>
        </w:rPr>
        <w:t>Nucleic Acids Res</w:t>
      </w:r>
      <w:r w:rsidRPr="00654B24">
        <w:rPr>
          <w:noProof/>
        </w:rPr>
        <w:t xml:space="preserve"> </w:t>
      </w:r>
      <w:r w:rsidRPr="00654B24">
        <w:rPr>
          <w:b/>
          <w:noProof/>
        </w:rPr>
        <w:t>38</w:t>
      </w:r>
      <w:r w:rsidRPr="00654B24">
        <w:rPr>
          <w:noProof/>
        </w:rPr>
        <w:t>, W555-562, doi:10.1093/nar/gkq395 (2010).</w:t>
      </w:r>
    </w:p>
    <w:p w14:paraId="75891759" w14:textId="6D71564C" w:rsidR="00A63C58" w:rsidRPr="00654B24" w:rsidRDefault="00A63C58" w:rsidP="00A63C58">
      <w:pPr>
        <w:pStyle w:val="EndNoteBibliography"/>
        <w:numPr>
          <w:ilvl w:val="0"/>
          <w:numId w:val="1"/>
        </w:numPr>
        <w:rPr>
          <w:noProof/>
        </w:rPr>
      </w:pPr>
      <w:r w:rsidRPr="00654B24">
        <w:rPr>
          <w:noProof/>
        </w:rPr>
        <w:t xml:space="preserve">Bhardwaj, N., Abyzov, A., Clarke, D., Shou, C. &amp; Gerstein, M. B. Integration of protein motions with molecular networks reveals different mechanisms for permanent and transient interactions. </w:t>
      </w:r>
      <w:r w:rsidRPr="00654B24">
        <w:rPr>
          <w:i/>
          <w:noProof/>
        </w:rPr>
        <w:t>Protein Sci</w:t>
      </w:r>
      <w:r w:rsidRPr="00654B24">
        <w:rPr>
          <w:noProof/>
        </w:rPr>
        <w:t xml:space="preserve"> </w:t>
      </w:r>
      <w:r w:rsidRPr="00654B24">
        <w:rPr>
          <w:b/>
          <w:noProof/>
        </w:rPr>
        <w:t>20</w:t>
      </w:r>
      <w:r w:rsidRPr="00654B24">
        <w:rPr>
          <w:noProof/>
        </w:rPr>
        <w:t>, 1745-1754, doi:10.1002/pro.710 (2011).</w:t>
      </w:r>
    </w:p>
    <w:p w14:paraId="2751A493" w14:textId="71FB8B1D" w:rsidR="00A63C58" w:rsidRPr="00654B24" w:rsidRDefault="00A63C58" w:rsidP="00A63C58">
      <w:pPr>
        <w:pStyle w:val="EndNoteBibliography"/>
        <w:numPr>
          <w:ilvl w:val="0"/>
          <w:numId w:val="1"/>
        </w:numPr>
        <w:rPr>
          <w:noProof/>
        </w:rPr>
      </w:pPr>
      <w:r w:rsidRPr="00654B24">
        <w:rPr>
          <w:noProof/>
        </w:rPr>
        <w:t xml:space="preserve">Flores, S. C. &amp; Gerstein, M. B. Predicting protein ligand binding motions with the conformation explorer. </w:t>
      </w:r>
      <w:r w:rsidRPr="00654B24">
        <w:rPr>
          <w:i/>
          <w:noProof/>
        </w:rPr>
        <w:t>BMC Bioinformatics</w:t>
      </w:r>
      <w:r w:rsidRPr="00654B24">
        <w:rPr>
          <w:noProof/>
        </w:rPr>
        <w:t xml:space="preserve"> </w:t>
      </w:r>
      <w:r w:rsidRPr="00654B24">
        <w:rPr>
          <w:b/>
          <w:noProof/>
        </w:rPr>
        <w:t>12</w:t>
      </w:r>
      <w:r w:rsidRPr="00654B24">
        <w:rPr>
          <w:noProof/>
        </w:rPr>
        <w:t>, 417, doi:10.1186/1471-2105-12-417 (2011).</w:t>
      </w:r>
    </w:p>
    <w:p w14:paraId="02235CF8" w14:textId="21B24719" w:rsidR="00A63C58" w:rsidRPr="00654B24" w:rsidRDefault="00A63C58" w:rsidP="00A63C58">
      <w:pPr>
        <w:pStyle w:val="EndNoteBibliography"/>
        <w:numPr>
          <w:ilvl w:val="0"/>
          <w:numId w:val="1"/>
        </w:numPr>
        <w:rPr>
          <w:noProof/>
        </w:rPr>
      </w:pPr>
      <w:r w:rsidRPr="00654B24">
        <w:rPr>
          <w:noProof/>
        </w:rPr>
        <w:t>Clarke, D.</w:t>
      </w:r>
      <w:r w:rsidRPr="00654B24">
        <w:rPr>
          <w:i/>
          <w:noProof/>
        </w:rPr>
        <w:t xml:space="preserve"> et al.</w:t>
      </w:r>
      <w:r w:rsidRPr="00654B24">
        <w:rPr>
          <w:noProof/>
        </w:rPr>
        <w:t xml:space="preserve"> Identifying Allosteric Hotspots with Dynamics: Application to Inter- and Intra-species Conservation. </w:t>
      </w:r>
      <w:r w:rsidRPr="00654B24">
        <w:rPr>
          <w:i/>
          <w:noProof/>
        </w:rPr>
        <w:t>Structure</w:t>
      </w:r>
      <w:r w:rsidRPr="00654B24">
        <w:rPr>
          <w:noProof/>
        </w:rPr>
        <w:t xml:space="preserve"> </w:t>
      </w:r>
      <w:r w:rsidRPr="00654B24">
        <w:rPr>
          <w:b/>
          <w:noProof/>
        </w:rPr>
        <w:t>24</w:t>
      </w:r>
      <w:r w:rsidRPr="00654B24">
        <w:rPr>
          <w:noProof/>
        </w:rPr>
        <w:t>, 826-837, doi:10.1016/j.str.2016.03.008 (2016).</w:t>
      </w:r>
    </w:p>
    <w:p w14:paraId="72EB8438" w14:textId="77777777" w:rsidR="002E0923" w:rsidRPr="00654B24" w:rsidRDefault="002E0923" w:rsidP="002E0923">
      <w:pPr>
        <w:pStyle w:val="EndNoteBibliography"/>
        <w:numPr>
          <w:ilvl w:val="0"/>
          <w:numId w:val="1"/>
        </w:numPr>
        <w:rPr>
          <w:noProof/>
        </w:rPr>
      </w:pPr>
      <w:r w:rsidRPr="00654B24">
        <w:rPr>
          <w:noProof/>
        </w:rPr>
        <w:t>Wang, B.</w:t>
      </w:r>
      <w:r w:rsidRPr="00654B24">
        <w:rPr>
          <w:i/>
          <w:noProof/>
        </w:rPr>
        <w:t xml:space="preserve"> et al.</w:t>
      </w:r>
      <w:r w:rsidRPr="00654B24">
        <w:rPr>
          <w:noProof/>
        </w:rPr>
        <w:t xml:space="preserve"> Building a Hybrid Physical-Statistical Classifier for Predicting the Effect of Variants Related to Protein-Drug Interactions. </w:t>
      </w:r>
      <w:r w:rsidRPr="00654B24">
        <w:rPr>
          <w:i/>
          <w:noProof/>
        </w:rPr>
        <w:t>Structure</w:t>
      </w:r>
      <w:r w:rsidRPr="00654B24">
        <w:rPr>
          <w:noProof/>
        </w:rPr>
        <w:t xml:space="preserve"> </w:t>
      </w:r>
      <w:r w:rsidRPr="00654B24">
        <w:rPr>
          <w:b/>
          <w:noProof/>
        </w:rPr>
        <w:t>27</w:t>
      </w:r>
      <w:r w:rsidRPr="00654B24">
        <w:rPr>
          <w:noProof/>
        </w:rPr>
        <w:t>, 1469-1481.e1463, doi:10.1016/j.str.2019.06.001 (2019).</w:t>
      </w:r>
    </w:p>
    <w:p w14:paraId="3087000F" w14:textId="77777777" w:rsidR="002E0923" w:rsidRPr="00654B24" w:rsidRDefault="002E0923" w:rsidP="002E0923">
      <w:pPr>
        <w:pStyle w:val="EndNoteBibliography"/>
        <w:numPr>
          <w:ilvl w:val="0"/>
          <w:numId w:val="1"/>
        </w:numPr>
        <w:rPr>
          <w:noProof/>
        </w:rPr>
      </w:pPr>
      <w:r w:rsidRPr="00654B24">
        <w:rPr>
          <w:noProof/>
        </w:rPr>
        <w:t>Karro, J. E.</w:t>
      </w:r>
      <w:r w:rsidRPr="00654B24">
        <w:rPr>
          <w:i/>
          <w:noProof/>
        </w:rPr>
        <w:t xml:space="preserve"> et al.</w:t>
      </w:r>
      <w:r w:rsidRPr="00654B24">
        <w:rPr>
          <w:noProof/>
        </w:rPr>
        <w:t xml:space="preserve"> Pseudogene.org: a comprehensive database and comparison platform for pseudogene annotation. </w:t>
      </w:r>
      <w:r w:rsidRPr="00654B24">
        <w:rPr>
          <w:i/>
          <w:noProof/>
        </w:rPr>
        <w:t>Nucleic Acids Res</w:t>
      </w:r>
      <w:r w:rsidRPr="00654B24">
        <w:rPr>
          <w:noProof/>
        </w:rPr>
        <w:t xml:space="preserve"> </w:t>
      </w:r>
      <w:r w:rsidRPr="00654B24">
        <w:rPr>
          <w:b/>
          <w:noProof/>
        </w:rPr>
        <w:t>35</w:t>
      </w:r>
      <w:r w:rsidRPr="00654B24">
        <w:rPr>
          <w:noProof/>
        </w:rPr>
        <w:t>, D55-60, doi:10.1093/nar/gkl851 (2007).</w:t>
      </w:r>
    </w:p>
    <w:p w14:paraId="36FCF081" w14:textId="77777777" w:rsidR="002E0923" w:rsidRPr="00654B24" w:rsidRDefault="002E0923" w:rsidP="002E0923">
      <w:pPr>
        <w:pStyle w:val="EndNoteBibliography"/>
        <w:numPr>
          <w:ilvl w:val="0"/>
          <w:numId w:val="1"/>
        </w:numPr>
        <w:rPr>
          <w:noProof/>
        </w:rPr>
      </w:pPr>
      <w:r w:rsidRPr="00654B24">
        <w:rPr>
          <w:noProof/>
        </w:rPr>
        <w:t xml:space="preserve">Bahcall, O. FunSeq for cancer genomics. </w:t>
      </w:r>
      <w:r w:rsidRPr="00654B24">
        <w:rPr>
          <w:i/>
          <w:noProof/>
        </w:rPr>
        <w:t>Nature Genetics</w:t>
      </w:r>
      <w:r w:rsidRPr="00654B24">
        <w:rPr>
          <w:noProof/>
        </w:rPr>
        <w:t xml:space="preserve"> </w:t>
      </w:r>
      <w:r w:rsidRPr="00654B24">
        <w:rPr>
          <w:b/>
          <w:noProof/>
        </w:rPr>
        <w:t>45</w:t>
      </w:r>
      <w:r w:rsidRPr="00654B24">
        <w:rPr>
          <w:noProof/>
        </w:rPr>
        <w:t>, 1273-1273, doi:10.1038/ng.2819 (2013).</w:t>
      </w:r>
    </w:p>
    <w:p w14:paraId="20A34587" w14:textId="32AF1C84" w:rsidR="002E0923" w:rsidRPr="00654B24" w:rsidRDefault="002E0923" w:rsidP="002E0923">
      <w:pPr>
        <w:pStyle w:val="EndNoteBibliography"/>
        <w:numPr>
          <w:ilvl w:val="0"/>
          <w:numId w:val="1"/>
        </w:numPr>
        <w:rPr>
          <w:noProof/>
        </w:rPr>
      </w:pPr>
      <w:r w:rsidRPr="00654B24">
        <w:rPr>
          <w:noProof/>
        </w:rPr>
        <w:t>Fu, Y.</w:t>
      </w:r>
      <w:r w:rsidRPr="00654B24">
        <w:rPr>
          <w:i/>
          <w:noProof/>
        </w:rPr>
        <w:t xml:space="preserve"> et al.</w:t>
      </w:r>
      <w:r w:rsidRPr="00654B24">
        <w:rPr>
          <w:noProof/>
        </w:rPr>
        <w:t xml:space="preserve"> FunSeq2: a framework for prioritizing noncoding  regulatory variants in cancer. </w:t>
      </w:r>
      <w:r w:rsidRPr="00654B24">
        <w:rPr>
          <w:i/>
          <w:noProof/>
        </w:rPr>
        <w:t>Genome Biol</w:t>
      </w:r>
      <w:r w:rsidRPr="00654B24">
        <w:rPr>
          <w:noProof/>
        </w:rPr>
        <w:t xml:space="preserve"> </w:t>
      </w:r>
      <w:r w:rsidRPr="00654B24">
        <w:rPr>
          <w:b/>
          <w:noProof/>
        </w:rPr>
        <w:t>15</w:t>
      </w:r>
      <w:r w:rsidRPr="00654B24">
        <w:rPr>
          <w:noProof/>
        </w:rPr>
        <w:t>, 480, doi:10.1186/s13059-014-0480-5 (2014).</w:t>
      </w:r>
    </w:p>
    <w:p w14:paraId="1FA30D6B" w14:textId="77777777" w:rsidR="002E0923" w:rsidRPr="00654B24" w:rsidRDefault="002E0923" w:rsidP="002E0923">
      <w:pPr>
        <w:pStyle w:val="EndNoteBibliography"/>
        <w:numPr>
          <w:ilvl w:val="0"/>
          <w:numId w:val="1"/>
        </w:numPr>
        <w:rPr>
          <w:noProof/>
        </w:rPr>
      </w:pPr>
      <w:r w:rsidRPr="00654B24">
        <w:rPr>
          <w:noProof/>
        </w:rPr>
        <w:t xml:space="preserve">Yu, H., Zhu, X., Greenbaum, D., Karro, J. &amp; Gerstein, M. TopNet: a tool for comparing biological sub-networks, correlating protein properties with topological statistics. </w:t>
      </w:r>
      <w:r w:rsidRPr="00654B24">
        <w:rPr>
          <w:i/>
          <w:noProof/>
        </w:rPr>
        <w:t>Nucleic Acids Res</w:t>
      </w:r>
      <w:r w:rsidRPr="00654B24">
        <w:rPr>
          <w:noProof/>
        </w:rPr>
        <w:t xml:space="preserve"> </w:t>
      </w:r>
      <w:r w:rsidRPr="00654B24">
        <w:rPr>
          <w:b/>
          <w:noProof/>
        </w:rPr>
        <w:t>32</w:t>
      </w:r>
      <w:r w:rsidRPr="00654B24">
        <w:rPr>
          <w:noProof/>
        </w:rPr>
        <w:t>, 328-337, doi:10.1093/nar/gkh164 (2004).</w:t>
      </w:r>
    </w:p>
    <w:p w14:paraId="4D467BCA" w14:textId="77777777" w:rsidR="002E0923" w:rsidRPr="00654B24" w:rsidRDefault="002E0923" w:rsidP="002E0923">
      <w:pPr>
        <w:pStyle w:val="EndNoteBibliography"/>
        <w:numPr>
          <w:ilvl w:val="0"/>
          <w:numId w:val="1"/>
        </w:numPr>
        <w:rPr>
          <w:noProof/>
        </w:rPr>
      </w:pPr>
      <w:r w:rsidRPr="00654B24">
        <w:rPr>
          <w:noProof/>
        </w:rPr>
        <w:t>61</w:t>
      </w:r>
      <w:r w:rsidRPr="00654B24">
        <w:rPr>
          <w:noProof/>
        </w:rPr>
        <w:tab/>
        <w:t xml:space="preserve">Yip, K. Y., Yu, H., Kim, P. M., Schultz, M. &amp; Gerstein, M. The tYNA platform for comparative interactomics: a web tool for managing, comparing and mining multiple networks. </w:t>
      </w:r>
      <w:r w:rsidRPr="00654B24">
        <w:rPr>
          <w:i/>
          <w:noProof/>
        </w:rPr>
        <w:t>Bioinformatics</w:t>
      </w:r>
      <w:r w:rsidRPr="00654B24">
        <w:rPr>
          <w:noProof/>
        </w:rPr>
        <w:t xml:space="preserve"> </w:t>
      </w:r>
      <w:r w:rsidRPr="00654B24">
        <w:rPr>
          <w:b/>
          <w:noProof/>
        </w:rPr>
        <w:t>22</w:t>
      </w:r>
      <w:r w:rsidRPr="00654B24">
        <w:rPr>
          <w:noProof/>
        </w:rPr>
        <w:t>, 2968-2970, doi:10.1093/bioinformatics/btl488 (2006).</w:t>
      </w:r>
    </w:p>
    <w:p w14:paraId="2407DDE2" w14:textId="77777777" w:rsidR="002E0923" w:rsidRPr="00654B24" w:rsidRDefault="002E0923" w:rsidP="002E0923">
      <w:pPr>
        <w:pStyle w:val="EndNoteBibliography"/>
        <w:numPr>
          <w:ilvl w:val="0"/>
          <w:numId w:val="1"/>
        </w:numPr>
        <w:rPr>
          <w:noProof/>
        </w:rPr>
      </w:pPr>
      <w:r w:rsidRPr="00654B24">
        <w:rPr>
          <w:noProof/>
        </w:rPr>
        <w:t>62</w:t>
      </w:r>
      <w:r w:rsidRPr="00654B24">
        <w:rPr>
          <w:noProof/>
        </w:rPr>
        <w:tab/>
        <w:t xml:space="preserve">Yu, H., Paccanaro, A., Trifonov, V. &amp; Gerstein, M. Predicting interactions in protein networks by completing defective cliques. </w:t>
      </w:r>
      <w:r w:rsidRPr="00654B24">
        <w:rPr>
          <w:i/>
          <w:noProof/>
        </w:rPr>
        <w:t>Bioinformatics</w:t>
      </w:r>
      <w:r w:rsidRPr="00654B24">
        <w:rPr>
          <w:noProof/>
        </w:rPr>
        <w:t xml:space="preserve"> </w:t>
      </w:r>
      <w:r w:rsidRPr="00654B24">
        <w:rPr>
          <w:b/>
          <w:noProof/>
        </w:rPr>
        <w:t>22</w:t>
      </w:r>
      <w:r w:rsidRPr="00654B24">
        <w:rPr>
          <w:noProof/>
        </w:rPr>
        <w:t>, 823-829, doi:10.1093/bioinformatics/btl014 (2006).</w:t>
      </w:r>
    </w:p>
    <w:p w14:paraId="5CD7F759" w14:textId="77777777" w:rsidR="002E0923" w:rsidRPr="00654B24" w:rsidRDefault="002E0923" w:rsidP="002E0923">
      <w:pPr>
        <w:pStyle w:val="EndNoteBibliography"/>
        <w:numPr>
          <w:ilvl w:val="0"/>
          <w:numId w:val="1"/>
        </w:numPr>
        <w:rPr>
          <w:noProof/>
        </w:rPr>
      </w:pPr>
      <w:r w:rsidRPr="00654B24">
        <w:rPr>
          <w:noProof/>
        </w:rPr>
        <w:t>63</w:t>
      </w:r>
      <w:r w:rsidRPr="00654B24">
        <w:rPr>
          <w:noProof/>
        </w:rPr>
        <w:tab/>
        <w:t>Cheung, K. H.</w:t>
      </w:r>
      <w:r w:rsidRPr="00654B24">
        <w:rPr>
          <w:i/>
          <w:noProof/>
        </w:rPr>
        <w:t xml:space="preserve"> et al.</w:t>
      </w:r>
      <w:r w:rsidRPr="00654B24">
        <w:rPr>
          <w:noProof/>
        </w:rPr>
        <w:t xml:space="preserve"> YeastHub: a semantic web use case for integrating data in the life sciences domain. </w:t>
      </w:r>
      <w:r w:rsidRPr="00654B24">
        <w:rPr>
          <w:i/>
          <w:noProof/>
        </w:rPr>
        <w:t>Bioinformatics</w:t>
      </w:r>
      <w:r w:rsidRPr="00654B24">
        <w:rPr>
          <w:noProof/>
        </w:rPr>
        <w:t xml:space="preserve"> </w:t>
      </w:r>
      <w:r w:rsidRPr="00654B24">
        <w:rPr>
          <w:b/>
          <w:noProof/>
        </w:rPr>
        <w:t>21 Suppl 1</w:t>
      </w:r>
      <w:r w:rsidRPr="00654B24">
        <w:rPr>
          <w:noProof/>
        </w:rPr>
        <w:t>, i85-96, doi:10.1093/bioinformatics/bti1026 (2005).</w:t>
      </w:r>
    </w:p>
    <w:p w14:paraId="641AB361" w14:textId="0D68E421" w:rsidR="00A63C58" w:rsidRPr="00654B24" w:rsidRDefault="002E0923" w:rsidP="00A63C58">
      <w:pPr>
        <w:pStyle w:val="ListParagraph"/>
        <w:numPr>
          <w:ilvl w:val="0"/>
          <w:numId w:val="1"/>
        </w:numPr>
        <w:autoSpaceDE w:val="0"/>
        <w:autoSpaceDN w:val="0"/>
        <w:adjustRightInd w:val="0"/>
        <w:jc w:val="both"/>
        <w:rPr>
          <w:rFonts w:ascii="Arial" w:hAnsi="Arial" w:cs="Arial"/>
          <w:color w:val="000000"/>
          <w:sz w:val="22"/>
          <w:szCs w:val="22"/>
        </w:rPr>
      </w:pPr>
      <w:r w:rsidRPr="00654B24">
        <w:rPr>
          <w:rFonts w:ascii="Arial" w:hAnsi="Arial" w:cs="Arial"/>
          <w:noProof/>
          <w:sz w:val="22"/>
          <w:szCs w:val="22"/>
        </w:rPr>
        <w:t xml:space="preserve">Douglas, S. M., Montelione, G. T. &amp; Gerstein, M. PubNet: a flexible system for visualizing literature derived networks. </w:t>
      </w:r>
      <w:r w:rsidRPr="00654B24">
        <w:rPr>
          <w:rFonts w:ascii="Arial" w:hAnsi="Arial" w:cs="Arial"/>
          <w:i/>
          <w:noProof/>
          <w:sz w:val="22"/>
          <w:szCs w:val="22"/>
        </w:rPr>
        <w:t>Genome Biol</w:t>
      </w:r>
      <w:r w:rsidRPr="00654B24">
        <w:rPr>
          <w:rFonts w:ascii="Arial" w:hAnsi="Arial" w:cs="Arial"/>
          <w:noProof/>
          <w:sz w:val="22"/>
          <w:szCs w:val="22"/>
        </w:rPr>
        <w:t xml:space="preserve"> </w:t>
      </w:r>
      <w:r w:rsidRPr="00654B24">
        <w:rPr>
          <w:rFonts w:ascii="Arial" w:hAnsi="Arial" w:cs="Arial"/>
          <w:b/>
          <w:noProof/>
          <w:sz w:val="22"/>
          <w:szCs w:val="22"/>
        </w:rPr>
        <w:t>6</w:t>
      </w:r>
      <w:r w:rsidRPr="00654B24">
        <w:rPr>
          <w:rFonts w:ascii="Arial" w:hAnsi="Arial" w:cs="Arial"/>
          <w:noProof/>
          <w:sz w:val="22"/>
          <w:szCs w:val="22"/>
        </w:rPr>
        <w:t>, R80, doi:10.1186/gb-2005-6-9-r80 (2005).</w:t>
      </w:r>
    </w:p>
    <w:p w14:paraId="0C048B4D" w14:textId="6EBD6D3D" w:rsidR="002E0923" w:rsidRPr="00654B24" w:rsidRDefault="002E0923" w:rsidP="00A63C58">
      <w:pPr>
        <w:pStyle w:val="ListParagraph"/>
        <w:numPr>
          <w:ilvl w:val="0"/>
          <w:numId w:val="1"/>
        </w:numPr>
        <w:autoSpaceDE w:val="0"/>
        <w:autoSpaceDN w:val="0"/>
        <w:adjustRightInd w:val="0"/>
        <w:jc w:val="both"/>
        <w:rPr>
          <w:rFonts w:ascii="Arial" w:hAnsi="Arial" w:cs="Arial"/>
          <w:color w:val="000000"/>
          <w:sz w:val="22"/>
          <w:szCs w:val="22"/>
        </w:rPr>
      </w:pPr>
      <w:r w:rsidRPr="00654B24">
        <w:rPr>
          <w:rFonts w:ascii="Arial" w:hAnsi="Arial" w:cs="Arial"/>
          <w:noProof/>
          <w:sz w:val="22"/>
          <w:szCs w:val="22"/>
        </w:rPr>
        <w:t xml:space="preserve">Kim, P. M., Lu, L. J., Xia, Y. &amp; Gerstein, M. B. Relating three-dimensional structures to protein networks provides evolutionary insights. </w:t>
      </w:r>
      <w:r w:rsidRPr="00654B24">
        <w:rPr>
          <w:rFonts w:ascii="Arial" w:hAnsi="Arial" w:cs="Arial"/>
          <w:i/>
          <w:noProof/>
          <w:sz w:val="22"/>
          <w:szCs w:val="22"/>
        </w:rPr>
        <w:t>Science</w:t>
      </w:r>
      <w:r w:rsidRPr="00654B24">
        <w:rPr>
          <w:rFonts w:ascii="Arial" w:hAnsi="Arial" w:cs="Arial"/>
          <w:noProof/>
          <w:sz w:val="22"/>
          <w:szCs w:val="22"/>
        </w:rPr>
        <w:t xml:space="preserve"> </w:t>
      </w:r>
      <w:r w:rsidRPr="00654B24">
        <w:rPr>
          <w:rFonts w:ascii="Arial" w:hAnsi="Arial" w:cs="Arial"/>
          <w:b/>
          <w:noProof/>
          <w:sz w:val="22"/>
          <w:szCs w:val="22"/>
        </w:rPr>
        <w:t>314</w:t>
      </w:r>
      <w:r w:rsidRPr="00654B24">
        <w:rPr>
          <w:rFonts w:ascii="Arial" w:hAnsi="Arial" w:cs="Arial"/>
          <w:noProof/>
          <w:sz w:val="22"/>
          <w:szCs w:val="22"/>
        </w:rPr>
        <w:t>, 1938-1941, doi:10.1126/science.1136174 (2006).</w:t>
      </w:r>
    </w:p>
    <w:p w14:paraId="56841AA4" w14:textId="77777777" w:rsidR="002E0923" w:rsidRPr="00654B24" w:rsidRDefault="002E0923" w:rsidP="002E0923">
      <w:pPr>
        <w:pStyle w:val="EndNoteBibliography"/>
        <w:numPr>
          <w:ilvl w:val="0"/>
          <w:numId w:val="1"/>
        </w:numPr>
        <w:rPr>
          <w:noProof/>
        </w:rPr>
      </w:pPr>
      <w:r w:rsidRPr="00654B24">
        <w:rPr>
          <w:noProof/>
        </w:rPr>
        <w:t>Lou, S.</w:t>
      </w:r>
      <w:r w:rsidRPr="00654B24">
        <w:rPr>
          <w:i/>
          <w:noProof/>
        </w:rPr>
        <w:t xml:space="preserve"> et al.</w:t>
      </w:r>
      <w:r w:rsidRPr="00654B24">
        <w:rPr>
          <w:noProof/>
        </w:rPr>
        <w:t xml:space="preserve"> TopicNet: a framework for measuring transcriptional regulatory network change. </w:t>
      </w:r>
      <w:r w:rsidRPr="00654B24">
        <w:rPr>
          <w:i/>
          <w:noProof/>
        </w:rPr>
        <w:t>Bioinformatics</w:t>
      </w:r>
      <w:r w:rsidRPr="00654B24">
        <w:rPr>
          <w:noProof/>
        </w:rPr>
        <w:t xml:space="preserve"> </w:t>
      </w:r>
      <w:r w:rsidRPr="00654B24">
        <w:rPr>
          <w:b/>
          <w:noProof/>
        </w:rPr>
        <w:t>36</w:t>
      </w:r>
      <w:r w:rsidRPr="00654B24">
        <w:rPr>
          <w:noProof/>
        </w:rPr>
        <w:t>, i474-i481, doi:10.1093/bioinformatics/btaa403 (2020).</w:t>
      </w:r>
    </w:p>
    <w:p w14:paraId="7414A17C" w14:textId="57775A49" w:rsidR="002E0923" w:rsidRPr="00654B24" w:rsidRDefault="00EE7477" w:rsidP="00A63C58">
      <w:pPr>
        <w:pStyle w:val="ListParagraph"/>
        <w:numPr>
          <w:ilvl w:val="0"/>
          <w:numId w:val="1"/>
        </w:numPr>
        <w:autoSpaceDE w:val="0"/>
        <w:autoSpaceDN w:val="0"/>
        <w:adjustRightInd w:val="0"/>
        <w:jc w:val="both"/>
        <w:rPr>
          <w:rFonts w:ascii="Arial" w:hAnsi="Arial" w:cs="Arial"/>
          <w:color w:val="000000"/>
          <w:sz w:val="22"/>
          <w:szCs w:val="22"/>
        </w:rPr>
      </w:pPr>
      <w:r w:rsidRPr="00654B24">
        <w:rPr>
          <w:rFonts w:ascii="Arial" w:hAnsi="Arial" w:cs="Arial"/>
          <w:noProof/>
          <w:sz w:val="22"/>
          <w:szCs w:val="22"/>
        </w:rPr>
        <w:t xml:space="preserve">Ascencio, F., Ljungh, A. &amp; Wadstrom, T. Characterization of lactoferrin binding by Aeromonas hydrophila. </w:t>
      </w:r>
      <w:r w:rsidRPr="00654B24">
        <w:rPr>
          <w:rFonts w:ascii="Arial" w:hAnsi="Arial" w:cs="Arial"/>
          <w:i/>
          <w:noProof/>
          <w:sz w:val="22"/>
          <w:szCs w:val="22"/>
        </w:rPr>
        <w:t>Appl Environ Microbiol</w:t>
      </w:r>
      <w:r w:rsidRPr="00654B24">
        <w:rPr>
          <w:rFonts w:ascii="Arial" w:hAnsi="Arial" w:cs="Arial"/>
          <w:noProof/>
          <w:sz w:val="22"/>
          <w:szCs w:val="22"/>
        </w:rPr>
        <w:t xml:space="preserve"> </w:t>
      </w:r>
      <w:r w:rsidRPr="00654B24">
        <w:rPr>
          <w:rFonts w:ascii="Arial" w:hAnsi="Arial" w:cs="Arial"/>
          <w:b/>
          <w:noProof/>
          <w:sz w:val="22"/>
          <w:szCs w:val="22"/>
        </w:rPr>
        <w:t>58</w:t>
      </w:r>
      <w:r w:rsidRPr="00654B24">
        <w:rPr>
          <w:rFonts w:ascii="Arial" w:hAnsi="Arial" w:cs="Arial"/>
          <w:noProof/>
          <w:sz w:val="22"/>
          <w:szCs w:val="22"/>
        </w:rPr>
        <w:t>, 42-47, doi:10.1128/AEM.58.1.42-47.1992 (1992)</w:t>
      </w:r>
    </w:p>
    <w:p w14:paraId="6E6EFE39" w14:textId="77777777" w:rsidR="00EE7477" w:rsidRPr="00654B24" w:rsidRDefault="00EE7477" w:rsidP="00EE7477">
      <w:pPr>
        <w:pStyle w:val="EndNoteBibliography"/>
        <w:numPr>
          <w:ilvl w:val="0"/>
          <w:numId w:val="1"/>
        </w:numPr>
        <w:rPr>
          <w:noProof/>
        </w:rPr>
      </w:pPr>
      <w:r w:rsidRPr="00654B24">
        <w:rPr>
          <w:noProof/>
        </w:rPr>
        <w:t xml:space="preserve">Sajjan, U., Keshavjee, S. &amp; Forstner, J. Responses of well-differentiated airway epithelial cell cultures from healthy donors and patients with cystic fibrosis to Burkholderia </w:t>
      </w:r>
      <w:r w:rsidRPr="00654B24">
        <w:rPr>
          <w:noProof/>
        </w:rPr>
        <w:lastRenderedPageBreak/>
        <w:t xml:space="preserve">cenocepacia infection. </w:t>
      </w:r>
      <w:r w:rsidRPr="00654B24">
        <w:rPr>
          <w:i/>
          <w:noProof/>
        </w:rPr>
        <w:t>Infect Immun</w:t>
      </w:r>
      <w:r w:rsidRPr="00654B24">
        <w:rPr>
          <w:noProof/>
        </w:rPr>
        <w:t xml:space="preserve"> </w:t>
      </w:r>
      <w:r w:rsidRPr="00654B24">
        <w:rPr>
          <w:b/>
          <w:noProof/>
        </w:rPr>
        <w:t>72</w:t>
      </w:r>
      <w:r w:rsidRPr="00654B24">
        <w:rPr>
          <w:noProof/>
        </w:rPr>
        <w:t>, 4188-4199, doi:10.1128/IAI.72.7.4188-4199.2004 (2004).</w:t>
      </w:r>
    </w:p>
    <w:p w14:paraId="18CF940A" w14:textId="210B4AC0" w:rsidR="00EE7477" w:rsidRPr="00654B24" w:rsidRDefault="00EE7477" w:rsidP="00A63C58">
      <w:pPr>
        <w:pStyle w:val="ListParagraph"/>
        <w:numPr>
          <w:ilvl w:val="0"/>
          <w:numId w:val="1"/>
        </w:numPr>
        <w:autoSpaceDE w:val="0"/>
        <w:autoSpaceDN w:val="0"/>
        <w:adjustRightInd w:val="0"/>
        <w:jc w:val="both"/>
        <w:rPr>
          <w:rFonts w:ascii="Arial" w:hAnsi="Arial" w:cs="Arial"/>
          <w:color w:val="000000"/>
          <w:sz w:val="22"/>
          <w:szCs w:val="22"/>
        </w:rPr>
      </w:pPr>
      <w:r w:rsidRPr="00654B24">
        <w:rPr>
          <w:rFonts w:ascii="Arial" w:hAnsi="Arial" w:cs="Arial"/>
          <w:noProof/>
          <w:sz w:val="22"/>
          <w:szCs w:val="22"/>
        </w:rPr>
        <w:t xml:space="preserve">Park, C. Y., Heo, J. N., Suk, K. &amp; Lee, W. H. Sodium azide suppresses LPS-induced expression MCP-1 through regulating IκBζ and STAT1 activities in macrophages. </w:t>
      </w:r>
      <w:r w:rsidRPr="00654B24">
        <w:rPr>
          <w:rFonts w:ascii="Arial" w:hAnsi="Arial" w:cs="Arial"/>
          <w:i/>
          <w:noProof/>
          <w:sz w:val="22"/>
          <w:szCs w:val="22"/>
        </w:rPr>
        <w:t>Cell Immunol</w:t>
      </w:r>
      <w:r w:rsidRPr="00654B24">
        <w:rPr>
          <w:rFonts w:ascii="Arial" w:hAnsi="Arial" w:cs="Arial"/>
          <w:noProof/>
          <w:sz w:val="22"/>
          <w:szCs w:val="22"/>
        </w:rPr>
        <w:t xml:space="preserve"> </w:t>
      </w:r>
      <w:r w:rsidRPr="00654B24">
        <w:rPr>
          <w:rFonts w:ascii="Arial" w:hAnsi="Arial" w:cs="Arial"/>
          <w:b/>
          <w:noProof/>
          <w:sz w:val="22"/>
          <w:szCs w:val="22"/>
        </w:rPr>
        <w:t>315</w:t>
      </w:r>
      <w:r w:rsidRPr="00654B24">
        <w:rPr>
          <w:rFonts w:ascii="Arial" w:hAnsi="Arial" w:cs="Arial"/>
          <w:noProof/>
          <w:sz w:val="22"/>
          <w:szCs w:val="22"/>
        </w:rPr>
        <w:t>, 64-70, doi:10.1016/j.cellimm.2017.02.007 (2017).</w:t>
      </w:r>
    </w:p>
    <w:p w14:paraId="1FBDE4AF" w14:textId="77777777" w:rsidR="00EE7477" w:rsidRPr="00654B24" w:rsidRDefault="00EE7477" w:rsidP="00EE7477">
      <w:pPr>
        <w:pStyle w:val="EndNoteBibliography"/>
        <w:numPr>
          <w:ilvl w:val="0"/>
          <w:numId w:val="1"/>
        </w:numPr>
        <w:rPr>
          <w:noProof/>
        </w:rPr>
      </w:pPr>
      <w:r w:rsidRPr="00654B24">
        <w:rPr>
          <w:noProof/>
        </w:rPr>
        <w:t>Hildebrand, D.</w:t>
      </w:r>
      <w:r w:rsidRPr="00654B24">
        <w:rPr>
          <w:i/>
          <w:noProof/>
        </w:rPr>
        <w:t xml:space="preserve"> et al.</w:t>
      </w:r>
      <w:r w:rsidRPr="00654B24">
        <w:rPr>
          <w:noProof/>
        </w:rPr>
        <w:t xml:space="preserve"> Granzyme A produces bioactive IL-1β through a nonapoptotic inflammasome-independent pathway. </w:t>
      </w:r>
      <w:r w:rsidRPr="00654B24">
        <w:rPr>
          <w:i/>
          <w:noProof/>
        </w:rPr>
        <w:t>Cell Rep</w:t>
      </w:r>
      <w:r w:rsidRPr="00654B24">
        <w:rPr>
          <w:noProof/>
        </w:rPr>
        <w:t xml:space="preserve"> </w:t>
      </w:r>
      <w:r w:rsidRPr="00654B24">
        <w:rPr>
          <w:b/>
          <w:noProof/>
        </w:rPr>
        <w:t>9</w:t>
      </w:r>
      <w:r w:rsidRPr="00654B24">
        <w:rPr>
          <w:noProof/>
        </w:rPr>
        <w:t>, 910-917, doi:10.1016/j.celrep.2014.10.003 (2014).</w:t>
      </w:r>
    </w:p>
    <w:p w14:paraId="3A34D40D" w14:textId="77777777" w:rsidR="003503CA" w:rsidRPr="00654B24" w:rsidRDefault="003503CA" w:rsidP="003503CA">
      <w:pPr>
        <w:pStyle w:val="EndNoteBibliography"/>
        <w:numPr>
          <w:ilvl w:val="0"/>
          <w:numId w:val="1"/>
        </w:numPr>
        <w:rPr>
          <w:noProof/>
        </w:rPr>
      </w:pPr>
      <w:r w:rsidRPr="00654B24">
        <w:rPr>
          <w:noProof/>
        </w:rPr>
        <w:t>Khurana, E.</w:t>
      </w:r>
      <w:r w:rsidRPr="00654B24">
        <w:rPr>
          <w:i/>
          <w:noProof/>
        </w:rPr>
        <w:t xml:space="preserve"> et al.</w:t>
      </w:r>
      <w:r w:rsidRPr="00654B24">
        <w:rPr>
          <w:noProof/>
        </w:rPr>
        <w:t xml:space="preserve"> Integrative annotation of variants from 1092 humans: application to cancer genomics. </w:t>
      </w:r>
      <w:r w:rsidRPr="00654B24">
        <w:rPr>
          <w:i/>
          <w:noProof/>
        </w:rPr>
        <w:t>Science</w:t>
      </w:r>
      <w:r w:rsidRPr="00654B24">
        <w:rPr>
          <w:noProof/>
        </w:rPr>
        <w:t xml:space="preserve"> </w:t>
      </w:r>
      <w:r w:rsidRPr="00654B24">
        <w:rPr>
          <w:b/>
          <w:noProof/>
        </w:rPr>
        <w:t>342</w:t>
      </w:r>
      <w:r w:rsidRPr="00654B24">
        <w:rPr>
          <w:noProof/>
        </w:rPr>
        <w:t>, 1235587, doi:10.1126/science.1235587 (2013).</w:t>
      </w:r>
    </w:p>
    <w:p w14:paraId="493F62CB" w14:textId="77C68E76" w:rsidR="00EE7477" w:rsidRDefault="003503CA" w:rsidP="003503CA">
      <w:pPr>
        <w:pStyle w:val="EndNoteBibliography"/>
        <w:numPr>
          <w:ilvl w:val="0"/>
          <w:numId w:val="1"/>
        </w:numPr>
        <w:rPr>
          <w:noProof/>
        </w:rPr>
      </w:pPr>
      <w:r w:rsidRPr="00654B24">
        <w:rPr>
          <w:noProof/>
        </w:rPr>
        <w:t>Lou, S.</w:t>
      </w:r>
      <w:r w:rsidRPr="00654B24">
        <w:rPr>
          <w:i/>
          <w:noProof/>
        </w:rPr>
        <w:t xml:space="preserve"> et al.</w:t>
      </w:r>
      <w:r w:rsidRPr="00654B24">
        <w:rPr>
          <w:noProof/>
        </w:rPr>
        <w:t xml:space="preserve"> GRAM: A GeneRAlized Model to predict the molecular effect of a non-coding variant in a cell-type specific manner. </w:t>
      </w:r>
      <w:r w:rsidRPr="00654B24">
        <w:rPr>
          <w:i/>
          <w:noProof/>
        </w:rPr>
        <w:t>PLoS Genet</w:t>
      </w:r>
      <w:r w:rsidRPr="00654B24">
        <w:rPr>
          <w:noProof/>
        </w:rPr>
        <w:t xml:space="preserve"> </w:t>
      </w:r>
      <w:r w:rsidRPr="00654B24">
        <w:rPr>
          <w:b/>
          <w:noProof/>
        </w:rPr>
        <w:t>15</w:t>
      </w:r>
      <w:r w:rsidRPr="00654B24">
        <w:rPr>
          <w:noProof/>
        </w:rPr>
        <w:t>, e1007860, doi:10.1371/journal.pgen.1007860 (2019).</w:t>
      </w:r>
    </w:p>
    <w:p w14:paraId="1421B55D" w14:textId="77777777" w:rsidR="006B6D33" w:rsidRPr="00160BE5" w:rsidRDefault="006B6D33" w:rsidP="006B6D33">
      <w:pPr>
        <w:pStyle w:val="EndNoteBibliography"/>
        <w:numPr>
          <w:ilvl w:val="0"/>
          <w:numId w:val="1"/>
        </w:numPr>
        <w:rPr>
          <w:noProof/>
        </w:rPr>
      </w:pPr>
      <w:r w:rsidRPr="00160BE5">
        <w:rPr>
          <w:noProof/>
        </w:rPr>
        <w:t xml:space="preserve">Li, B., Yang, Y. T., Capra, J. A. &amp; Gerstein, M. B. Predicting changes in protein thermodynamic stability upon point mutation with deep 3D convolutional neural networks. </w:t>
      </w:r>
      <w:r w:rsidRPr="00160BE5">
        <w:rPr>
          <w:i/>
          <w:noProof/>
        </w:rPr>
        <w:t>bioRxiv</w:t>
      </w:r>
      <w:r w:rsidRPr="00160BE5">
        <w:rPr>
          <w:noProof/>
        </w:rPr>
        <w:t>, 2020.2002.2028.959874, doi:10.1101/2020.02.28.959874 (2020).</w:t>
      </w:r>
    </w:p>
    <w:p w14:paraId="1754327D" w14:textId="77777777" w:rsidR="006B6D33" w:rsidRPr="00654B24" w:rsidRDefault="006B6D33" w:rsidP="006B6D33">
      <w:pPr>
        <w:pStyle w:val="EndNoteBibliography"/>
        <w:ind w:left="720"/>
        <w:rPr>
          <w:noProof/>
        </w:rPr>
      </w:pPr>
    </w:p>
    <w:sectPr w:rsidR="006B6D33" w:rsidRPr="0065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250A6"/>
    <w:multiLevelType w:val="hybridMultilevel"/>
    <w:tmpl w:val="4768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B0"/>
    <w:rsid w:val="002E0923"/>
    <w:rsid w:val="003503CA"/>
    <w:rsid w:val="00587672"/>
    <w:rsid w:val="00654B24"/>
    <w:rsid w:val="006B6D33"/>
    <w:rsid w:val="00A41D07"/>
    <w:rsid w:val="00A63C58"/>
    <w:rsid w:val="00AE70B0"/>
    <w:rsid w:val="00D52AC5"/>
    <w:rsid w:val="00E50A47"/>
    <w:rsid w:val="00E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6BEA"/>
  <w15:chartTrackingRefBased/>
  <w15:docId w15:val="{ABF517C6-925B-AA47-AEAA-45A7B2AB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0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0B0"/>
    <w:rPr>
      <w:rFonts w:ascii="Times New Roman" w:hAnsi="Times New Roman" w:cs="Times New Roman"/>
      <w:sz w:val="18"/>
      <w:szCs w:val="18"/>
    </w:rPr>
  </w:style>
  <w:style w:type="paragraph" w:styleId="Caption">
    <w:name w:val="caption"/>
    <w:basedOn w:val="Normal"/>
    <w:next w:val="Normal"/>
    <w:uiPriority w:val="35"/>
    <w:unhideWhenUsed/>
    <w:qFormat/>
    <w:rsid w:val="00AE70B0"/>
    <w:pPr>
      <w:spacing w:after="200"/>
    </w:pPr>
    <w:rPr>
      <w:i/>
      <w:iCs/>
      <w:color w:val="44546A" w:themeColor="text2"/>
      <w:sz w:val="18"/>
      <w:szCs w:val="18"/>
    </w:rPr>
  </w:style>
  <w:style w:type="paragraph" w:styleId="ListParagraph">
    <w:name w:val="List Paragraph"/>
    <w:basedOn w:val="Normal"/>
    <w:uiPriority w:val="34"/>
    <w:qFormat/>
    <w:rsid w:val="00A63C58"/>
    <w:pPr>
      <w:ind w:left="720"/>
      <w:contextualSpacing/>
    </w:pPr>
  </w:style>
  <w:style w:type="paragraph" w:customStyle="1" w:styleId="EndNoteBibliography">
    <w:name w:val="EndNote Bibliography"/>
    <w:basedOn w:val="Normal"/>
    <w:link w:val="EndNoteBibliographyChar"/>
    <w:rsid w:val="00A63C58"/>
    <w:pPr>
      <w:jc w:val="both"/>
    </w:pPr>
    <w:rPr>
      <w:rFonts w:ascii="Arial" w:eastAsia="Arial" w:hAnsi="Arial" w:cs="Arial"/>
      <w:sz w:val="22"/>
      <w:szCs w:val="22"/>
    </w:rPr>
  </w:style>
  <w:style w:type="character" w:customStyle="1" w:styleId="EndNoteBibliographyChar">
    <w:name w:val="EndNote Bibliography Char"/>
    <w:basedOn w:val="DefaultParagraphFont"/>
    <w:link w:val="EndNoteBibliography"/>
    <w:rsid w:val="00A63C58"/>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Christopher</dc:creator>
  <cp:keywords/>
  <dc:description/>
  <cp:lastModifiedBy>Cameron, Christopher</cp:lastModifiedBy>
  <cp:revision>5</cp:revision>
  <dcterms:created xsi:type="dcterms:W3CDTF">2020-09-14T20:16:00Z</dcterms:created>
  <dcterms:modified xsi:type="dcterms:W3CDTF">2020-09-14T21:09:00Z</dcterms:modified>
</cp:coreProperties>
</file>